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7A" w:rsidRPr="004E4362" w:rsidRDefault="00DF417A" w:rsidP="00DF417A">
      <w:pPr>
        <w:jc w:val="center"/>
        <w:rPr>
          <w:rFonts w:ascii="Times New Roman" w:hAnsi="Times New Roman" w:cs="Times New Roman"/>
          <w:b/>
          <w:sz w:val="32"/>
          <w:szCs w:val="32"/>
        </w:rPr>
      </w:pPr>
      <w:r w:rsidRPr="004E4362">
        <w:rPr>
          <w:rFonts w:ascii="Times New Roman" w:hAnsi="Times New Roman" w:cs="Times New Roman"/>
          <w:b/>
          <w:sz w:val="32"/>
          <w:szCs w:val="32"/>
        </w:rPr>
        <w:t>Основные положения учетной политики</w:t>
      </w:r>
    </w:p>
    <w:p w:rsidR="005B4A09" w:rsidRDefault="00DF417A" w:rsidP="00DF417A">
      <w:pPr>
        <w:jc w:val="center"/>
        <w:rPr>
          <w:rFonts w:ascii="Times New Roman" w:hAnsi="Times New Roman" w:cs="Times New Roman"/>
          <w:b/>
          <w:sz w:val="32"/>
          <w:szCs w:val="32"/>
        </w:rPr>
      </w:pPr>
      <w:r w:rsidRPr="004E4362">
        <w:rPr>
          <w:rFonts w:ascii="Times New Roman" w:hAnsi="Times New Roman" w:cs="Times New Roman"/>
          <w:b/>
          <w:sz w:val="32"/>
          <w:szCs w:val="32"/>
        </w:rPr>
        <w:t>Управления финансов администрации Малосердобинского района Пензенской области</w:t>
      </w:r>
    </w:p>
    <w:p w:rsidR="004E4362" w:rsidRPr="004E4362" w:rsidRDefault="004E4362" w:rsidP="00DF417A">
      <w:pPr>
        <w:jc w:val="center"/>
        <w:rPr>
          <w:rFonts w:ascii="Times New Roman" w:hAnsi="Times New Roman" w:cs="Times New Roman"/>
          <w:b/>
          <w:sz w:val="32"/>
          <w:szCs w:val="32"/>
        </w:rPr>
      </w:pPr>
    </w:p>
    <w:tbl>
      <w:tblPr>
        <w:tblStyle w:val="a3"/>
        <w:tblW w:w="0" w:type="auto"/>
        <w:tblLook w:val="04A0"/>
      </w:tblPr>
      <w:tblGrid>
        <w:gridCol w:w="2628"/>
        <w:gridCol w:w="2060"/>
        <w:gridCol w:w="4838"/>
        <w:gridCol w:w="5245"/>
      </w:tblGrid>
      <w:tr w:rsidR="00DF417A" w:rsidRPr="004E4362" w:rsidTr="004E4362">
        <w:tc>
          <w:tcPr>
            <w:tcW w:w="2139"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Наименование объекта учета</w:t>
            </w:r>
          </w:p>
        </w:tc>
        <w:tc>
          <w:tcPr>
            <w:tcW w:w="1636"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Код счета бухгалтерского учета</w:t>
            </w:r>
          </w:p>
        </w:tc>
        <w:tc>
          <w:tcPr>
            <w:tcW w:w="4838"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Характеристика метода оценки и момент отражения операции в учете</w:t>
            </w:r>
          </w:p>
        </w:tc>
        <w:tc>
          <w:tcPr>
            <w:tcW w:w="5245"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Правовое обоснование</w:t>
            </w:r>
          </w:p>
        </w:tc>
      </w:tr>
      <w:tr w:rsidR="00DF417A" w:rsidRPr="004E4362" w:rsidTr="004E4362">
        <w:tc>
          <w:tcPr>
            <w:tcW w:w="2139"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Амортизация основных средств</w:t>
            </w:r>
          </w:p>
        </w:tc>
        <w:tc>
          <w:tcPr>
            <w:tcW w:w="1636"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1 104 00 000</w:t>
            </w:r>
          </w:p>
        </w:tc>
        <w:tc>
          <w:tcPr>
            <w:tcW w:w="4838"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Начисление амортизации основных средств осуществляется линейным методом</w:t>
            </w:r>
          </w:p>
        </w:tc>
        <w:tc>
          <w:tcPr>
            <w:tcW w:w="5245" w:type="dxa"/>
          </w:tcPr>
          <w:p w:rsidR="00DF417A" w:rsidRPr="004E4362" w:rsidRDefault="004E4362">
            <w:pPr>
              <w:jc w:val="center"/>
              <w:rPr>
                <w:rFonts w:ascii="Times New Roman" w:hAnsi="Times New Roman" w:cs="Times New Roman"/>
                <w:sz w:val="28"/>
                <w:szCs w:val="28"/>
              </w:rPr>
            </w:pPr>
            <w:r w:rsidRPr="004E4362">
              <w:rPr>
                <w:rFonts w:ascii="Times New Roman" w:hAnsi="Times New Roman" w:cs="Times New Roman"/>
                <w:sz w:val="28"/>
                <w:szCs w:val="28"/>
              </w:rPr>
              <w:t>п.36 ФСГС «О</w:t>
            </w:r>
            <w:r w:rsidR="00DF417A" w:rsidRPr="004E4362">
              <w:rPr>
                <w:rFonts w:ascii="Times New Roman" w:hAnsi="Times New Roman" w:cs="Times New Roman"/>
                <w:sz w:val="28"/>
                <w:szCs w:val="28"/>
              </w:rPr>
              <w:t>сновные средства» (приказ Ми</w:t>
            </w:r>
            <w:r w:rsidR="00A84640" w:rsidRPr="004E4362">
              <w:rPr>
                <w:rFonts w:ascii="Times New Roman" w:hAnsi="Times New Roman" w:cs="Times New Roman"/>
                <w:sz w:val="28"/>
                <w:szCs w:val="28"/>
              </w:rPr>
              <w:t>нфина России от 31.12.2016 №257</w:t>
            </w:r>
            <w:r w:rsidR="00DF417A" w:rsidRPr="004E4362">
              <w:rPr>
                <w:rFonts w:ascii="Times New Roman" w:hAnsi="Times New Roman" w:cs="Times New Roman"/>
                <w:sz w:val="28"/>
                <w:szCs w:val="28"/>
              </w:rPr>
              <w:t xml:space="preserve">н), </w:t>
            </w:r>
          </w:p>
          <w:p w:rsidR="00DF417A" w:rsidRPr="004E4362" w:rsidRDefault="00DF417A" w:rsidP="00B7088E">
            <w:pPr>
              <w:jc w:val="center"/>
              <w:rPr>
                <w:rFonts w:ascii="Times New Roman" w:hAnsi="Times New Roman" w:cs="Times New Roman"/>
                <w:sz w:val="28"/>
                <w:szCs w:val="28"/>
              </w:rPr>
            </w:pPr>
            <w:r w:rsidRPr="004E4362">
              <w:rPr>
                <w:rFonts w:ascii="Times New Roman" w:hAnsi="Times New Roman" w:cs="Times New Roman"/>
                <w:sz w:val="28"/>
                <w:szCs w:val="28"/>
              </w:rPr>
              <w:t>п.2.2 Учетной политики 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(приказ </w:t>
            </w:r>
            <w:r w:rsidR="008547AE" w:rsidRPr="004E4362">
              <w:rPr>
                <w:rFonts w:ascii="Times New Roman" w:hAnsi="Times New Roman" w:cs="Times New Roman"/>
                <w:sz w:val="28"/>
                <w:szCs w:val="28"/>
              </w:rPr>
              <w:t>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w:t>
            </w:r>
            <w:r w:rsidR="00B7088E">
              <w:rPr>
                <w:rFonts w:ascii="Times New Roman" w:hAnsi="Times New Roman" w:cs="Times New Roman"/>
                <w:sz w:val="28"/>
                <w:szCs w:val="28"/>
              </w:rPr>
              <w:t>7</w:t>
            </w:r>
            <w:r w:rsidR="008547AE">
              <w:rPr>
                <w:rFonts w:ascii="Times New Roman" w:hAnsi="Times New Roman" w:cs="Times New Roman"/>
                <w:sz w:val="28"/>
                <w:szCs w:val="28"/>
              </w:rPr>
              <w:t xml:space="preserve">3 от </w:t>
            </w:r>
            <w:r w:rsidR="00B7088E">
              <w:rPr>
                <w:rFonts w:ascii="Times New Roman" w:hAnsi="Times New Roman" w:cs="Times New Roman"/>
                <w:sz w:val="28"/>
                <w:szCs w:val="28"/>
              </w:rPr>
              <w:t>29</w:t>
            </w:r>
            <w:r w:rsidR="008547AE">
              <w:rPr>
                <w:rFonts w:ascii="Times New Roman" w:hAnsi="Times New Roman" w:cs="Times New Roman"/>
                <w:sz w:val="28"/>
                <w:szCs w:val="28"/>
              </w:rPr>
              <w:t>.12.201</w:t>
            </w:r>
            <w:r w:rsidR="00B7088E">
              <w:rPr>
                <w:rFonts w:ascii="Times New Roman" w:hAnsi="Times New Roman" w:cs="Times New Roman"/>
                <w:sz w:val="28"/>
                <w:szCs w:val="28"/>
              </w:rPr>
              <w:t>8</w:t>
            </w:r>
            <w:r w:rsidR="008547AE">
              <w:rPr>
                <w:rFonts w:ascii="Times New Roman" w:hAnsi="Times New Roman" w:cs="Times New Roman"/>
                <w:sz w:val="28"/>
                <w:szCs w:val="28"/>
              </w:rPr>
              <w:t>г.)</w:t>
            </w:r>
          </w:p>
        </w:tc>
      </w:tr>
      <w:tr w:rsidR="00DF417A" w:rsidRPr="004E4362" w:rsidTr="004E4362">
        <w:tc>
          <w:tcPr>
            <w:tcW w:w="2139"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Материальные запасы</w:t>
            </w:r>
          </w:p>
        </w:tc>
        <w:tc>
          <w:tcPr>
            <w:tcW w:w="1636"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1 105 00 000</w:t>
            </w:r>
          </w:p>
        </w:tc>
        <w:tc>
          <w:tcPr>
            <w:tcW w:w="4838" w:type="dxa"/>
          </w:tcPr>
          <w:p w:rsidR="00DF417A" w:rsidRPr="004E4362" w:rsidRDefault="00DF417A">
            <w:pPr>
              <w:jc w:val="center"/>
              <w:rPr>
                <w:rFonts w:ascii="Times New Roman" w:hAnsi="Times New Roman" w:cs="Times New Roman"/>
                <w:sz w:val="28"/>
                <w:szCs w:val="28"/>
              </w:rPr>
            </w:pPr>
            <w:r w:rsidRPr="004E4362">
              <w:rPr>
                <w:rFonts w:ascii="Times New Roman" w:hAnsi="Times New Roman" w:cs="Times New Roman"/>
                <w:sz w:val="28"/>
                <w:szCs w:val="28"/>
              </w:rPr>
              <w:t xml:space="preserve"> Списание материальных запасов производится по фактической стоимости каждой единицы.</w:t>
            </w:r>
          </w:p>
        </w:tc>
        <w:tc>
          <w:tcPr>
            <w:tcW w:w="5245" w:type="dxa"/>
          </w:tcPr>
          <w:p w:rsidR="00DF417A" w:rsidRPr="004E4362" w:rsidRDefault="00A84640" w:rsidP="00B7088E">
            <w:pPr>
              <w:jc w:val="center"/>
              <w:rPr>
                <w:rFonts w:ascii="Times New Roman" w:hAnsi="Times New Roman" w:cs="Times New Roman"/>
                <w:sz w:val="28"/>
                <w:szCs w:val="28"/>
              </w:rPr>
            </w:pPr>
            <w:r w:rsidRPr="004E4362">
              <w:rPr>
                <w:rFonts w:ascii="Times New Roman" w:hAnsi="Times New Roman" w:cs="Times New Roman"/>
                <w:sz w:val="28"/>
                <w:szCs w:val="28"/>
              </w:rPr>
              <w:t>п.3.6.  Учетной политики 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(приказ </w:t>
            </w:r>
            <w:r w:rsidR="008547AE" w:rsidRPr="004E4362">
              <w:rPr>
                <w:rFonts w:ascii="Times New Roman" w:hAnsi="Times New Roman" w:cs="Times New Roman"/>
                <w:sz w:val="28"/>
                <w:szCs w:val="28"/>
              </w:rPr>
              <w:t>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w:t>
            </w:r>
            <w:r w:rsidR="00B7088E">
              <w:rPr>
                <w:rFonts w:ascii="Times New Roman" w:hAnsi="Times New Roman" w:cs="Times New Roman"/>
                <w:sz w:val="28"/>
                <w:szCs w:val="28"/>
              </w:rPr>
              <w:t>7</w:t>
            </w:r>
            <w:r w:rsidR="008547AE">
              <w:rPr>
                <w:rFonts w:ascii="Times New Roman" w:hAnsi="Times New Roman" w:cs="Times New Roman"/>
                <w:sz w:val="28"/>
                <w:szCs w:val="28"/>
              </w:rPr>
              <w:t xml:space="preserve">3 от </w:t>
            </w:r>
            <w:r w:rsidR="00B7088E">
              <w:rPr>
                <w:rFonts w:ascii="Times New Roman" w:hAnsi="Times New Roman" w:cs="Times New Roman"/>
                <w:sz w:val="28"/>
                <w:szCs w:val="28"/>
              </w:rPr>
              <w:t>29</w:t>
            </w:r>
            <w:r w:rsidR="008547AE">
              <w:rPr>
                <w:rFonts w:ascii="Times New Roman" w:hAnsi="Times New Roman" w:cs="Times New Roman"/>
                <w:sz w:val="28"/>
                <w:szCs w:val="28"/>
              </w:rPr>
              <w:t>.12.201</w:t>
            </w:r>
            <w:r w:rsidR="00B7088E">
              <w:rPr>
                <w:rFonts w:ascii="Times New Roman" w:hAnsi="Times New Roman" w:cs="Times New Roman"/>
                <w:sz w:val="28"/>
                <w:szCs w:val="28"/>
              </w:rPr>
              <w:t>8</w:t>
            </w:r>
            <w:r w:rsidR="008547AE">
              <w:rPr>
                <w:rFonts w:ascii="Times New Roman" w:hAnsi="Times New Roman" w:cs="Times New Roman"/>
                <w:sz w:val="28"/>
                <w:szCs w:val="28"/>
              </w:rPr>
              <w:t xml:space="preserve"> г.)</w:t>
            </w:r>
          </w:p>
        </w:tc>
      </w:tr>
      <w:tr w:rsidR="00AC0510" w:rsidRPr="004E4362" w:rsidTr="004E4362">
        <w:tc>
          <w:tcPr>
            <w:tcW w:w="2139" w:type="dxa"/>
          </w:tcPr>
          <w:p w:rsidR="00AC0510" w:rsidRPr="004E4362" w:rsidRDefault="00AC0510">
            <w:pPr>
              <w:jc w:val="center"/>
              <w:rPr>
                <w:rFonts w:ascii="Times New Roman" w:hAnsi="Times New Roman" w:cs="Times New Roman"/>
                <w:sz w:val="28"/>
                <w:szCs w:val="28"/>
              </w:rPr>
            </w:pPr>
            <w:r w:rsidRPr="004E4362">
              <w:rPr>
                <w:rFonts w:ascii="Times New Roman" w:hAnsi="Times New Roman" w:cs="Times New Roman"/>
                <w:sz w:val="28"/>
                <w:szCs w:val="28"/>
              </w:rPr>
              <w:t>Материальные запасы</w:t>
            </w:r>
          </w:p>
        </w:tc>
        <w:tc>
          <w:tcPr>
            <w:tcW w:w="1636" w:type="dxa"/>
          </w:tcPr>
          <w:p w:rsidR="00AC0510" w:rsidRPr="004E4362" w:rsidRDefault="00AC0510">
            <w:pPr>
              <w:jc w:val="center"/>
              <w:rPr>
                <w:rFonts w:ascii="Times New Roman" w:hAnsi="Times New Roman" w:cs="Times New Roman"/>
                <w:sz w:val="28"/>
                <w:szCs w:val="28"/>
              </w:rPr>
            </w:pPr>
            <w:r w:rsidRPr="004E4362">
              <w:rPr>
                <w:rFonts w:ascii="Times New Roman" w:hAnsi="Times New Roman" w:cs="Times New Roman"/>
                <w:sz w:val="28"/>
                <w:szCs w:val="28"/>
              </w:rPr>
              <w:t>1 105 00 000</w:t>
            </w:r>
          </w:p>
        </w:tc>
        <w:tc>
          <w:tcPr>
            <w:tcW w:w="4838" w:type="dxa"/>
          </w:tcPr>
          <w:p w:rsidR="00AC0510" w:rsidRPr="004E4362" w:rsidRDefault="00AC0510">
            <w:pPr>
              <w:jc w:val="center"/>
              <w:rPr>
                <w:rFonts w:ascii="Times New Roman" w:hAnsi="Times New Roman" w:cs="Times New Roman"/>
                <w:sz w:val="28"/>
                <w:szCs w:val="28"/>
              </w:rPr>
            </w:pPr>
            <w:r>
              <w:rPr>
                <w:rFonts w:ascii="Times New Roman" w:hAnsi="Times New Roman" w:cs="Times New Roman"/>
                <w:sz w:val="28"/>
                <w:szCs w:val="28"/>
              </w:rPr>
              <w:t xml:space="preserve">Единица учета </w:t>
            </w:r>
            <w:proofErr w:type="gramStart"/>
            <w:r>
              <w:rPr>
                <w:rFonts w:ascii="Times New Roman" w:hAnsi="Times New Roman" w:cs="Times New Roman"/>
                <w:sz w:val="28"/>
                <w:szCs w:val="28"/>
              </w:rPr>
              <w:t>материальных</w:t>
            </w:r>
            <w:proofErr w:type="gramEnd"/>
            <w:r>
              <w:rPr>
                <w:rFonts w:ascii="Times New Roman" w:hAnsi="Times New Roman" w:cs="Times New Roman"/>
                <w:sz w:val="28"/>
                <w:szCs w:val="28"/>
              </w:rPr>
              <w:t xml:space="preserve"> запасов-номенклатурная (реестровая) единица</w:t>
            </w:r>
          </w:p>
        </w:tc>
        <w:tc>
          <w:tcPr>
            <w:tcW w:w="5245" w:type="dxa"/>
          </w:tcPr>
          <w:p w:rsidR="00AC0510" w:rsidRPr="004E4362" w:rsidRDefault="00AC0510" w:rsidP="00AC0510">
            <w:pPr>
              <w:jc w:val="center"/>
              <w:rPr>
                <w:rFonts w:ascii="Times New Roman" w:hAnsi="Times New Roman" w:cs="Times New Roman"/>
                <w:sz w:val="28"/>
                <w:szCs w:val="28"/>
              </w:rPr>
            </w:pPr>
            <w:r w:rsidRPr="004E4362">
              <w:rPr>
                <w:rFonts w:ascii="Times New Roman" w:hAnsi="Times New Roman" w:cs="Times New Roman"/>
                <w:sz w:val="28"/>
                <w:szCs w:val="28"/>
              </w:rPr>
              <w:t>п.3.</w:t>
            </w:r>
            <w:r>
              <w:rPr>
                <w:rFonts w:ascii="Times New Roman" w:hAnsi="Times New Roman" w:cs="Times New Roman"/>
                <w:sz w:val="28"/>
                <w:szCs w:val="28"/>
              </w:rPr>
              <w:t>7</w:t>
            </w:r>
            <w:r w:rsidRPr="004E4362">
              <w:rPr>
                <w:rFonts w:ascii="Times New Roman" w:hAnsi="Times New Roman" w:cs="Times New Roman"/>
                <w:sz w:val="28"/>
                <w:szCs w:val="28"/>
              </w:rPr>
              <w:t>.  Учетной политики Управления финансов администрации Малосердобинского района Пензенской области</w:t>
            </w:r>
            <w:r>
              <w:rPr>
                <w:rFonts w:ascii="Times New Roman" w:hAnsi="Times New Roman" w:cs="Times New Roman"/>
                <w:sz w:val="28"/>
                <w:szCs w:val="28"/>
              </w:rPr>
              <w:t xml:space="preserve"> (внесен приказом  </w:t>
            </w:r>
            <w:r w:rsidRPr="004E4362">
              <w:rPr>
                <w:rFonts w:ascii="Times New Roman" w:hAnsi="Times New Roman" w:cs="Times New Roman"/>
                <w:sz w:val="28"/>
                <w:szCs w:val="28"/>
              </w:rPr>
              <w:t xml:space="preserve">Управления </w:t>
            </w:r>
            <w:r w:rsidRPr="004E4362">
              <w:rPr>
                <w:rFonts w:ascii="Times New Roman" w:hAnsi="Times New Roman" w:cs="Times New Roman"/>
                <w:sz w:val="28"/>
                <w:szCs w:val="28"/>
              </w:rPr>
              <w:lastRenderedPageBreak/>
              <w:t>финансов администрации Малосердобинского района Пензенской области</w:t>
            </w:r>
            <w:r>
              <w:rPr>
                <w:rFonts w:ascii="Times New Roman" w:hAnsi="Times New Roman" w:cs="Times New Roman"/>
                <w:sz w:val="28"/>
                <w:szCs w:val="28"/>
              </w:rPr>
              <w:t xml:space="preserve"> №63 от 30.12.2019 г.)</w:t>
            </w:r>
          </w:p>
        </w:tc>
      </w:tr>
      <w:tr w:rsidR="00DF417A" w:rsidRPr="004E4362" w:rsidTr="004E4362">
        <w:tc>
          <w:tcPr>
            <w:tcW w:w="2139"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lastRenderedPageBreak/>
              <w:t>Основные средства</w:t>
            </w:r>
          </w:p>
        </w:tc>
        <w:tc>
          <w:tcPr>
            <w:tcW w:w="1636"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Зб 21</w:t>
            </w:r>
          </w:p>
        </w:tc>
        <w:tc>
          <w:tcPr>
            <w:tcW w:w="4838"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Основные средства стоимостью до 10 000 руб. включительно, находящиеся в эксплуатации, учитываются на одноименном забалансовом счете по балансовой стоимости</w:t>
            </w:r>
          </w:p>
        </w:tc>
        <w:tc>
          <w:tcPr>
            <w:tcW w:w="5245" w:type="dxa"/>
          </w:tcPr>
          <w:p w:rsidR="00DF417A" w:rsidRPr="004E4362" w:rsidRDefault="00A84640" w:rsidP="0014228D">
            <w:pPr>
              <w:jc w:val="center"/>
              <w:rPr>
                <w:rFonts w:ascii="Times New Roman" w:hAnsi="Times New Roman" w:cs="Times New Roman"/>
                <w:sz w:val="28"/>
                <w:szCs w:val="28"/>
              </w:rPr>
            </w:pPr>
            <w:r w:rsidRPr="004E4362">
              <w:rPr>
                <w:rFonts w:ascii="Times New Roman" w:hAnsi="Times New Roman" w:cs="Times New Roman"/>
                <w:sz w:val="28"/>
                <w:szCs w:val="28"/>
              </w:rPr>
              <w:t>п.2.</w:t>
            </w:r>
            <w:r w:rsidR="0014228D">
              <w:rPr>
                <w:rFonts w:ascii="Times New Roman" w:hAnsi="Times New Roman" w:cs="Times New Roman"/>
                <w:sz w:val="28"/>
                <w:szCs w:val="28"/>
              </w:rPr>
              <w:t>18</w:t>
            </w:r>
            <w:r w:rsidRPr="004E4362">
              <w:rPr>
                <w:rFonts w:ascii="Times New Roman" w:hAnsi="Times New Roman" w:cs="Times New Roman"/>
                <w:sz w:val="28"/>
                <w:szCs w:val="28"/>
              </w:rPr>
              <w:t>. Учетной политики 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(приказ </w:t>
            </w:r>
            <w:r w:rsidR="008547AE" w:rsidRPr="004E4362">
              <w:rPr>
                <w:rFonts w:ascii="Times New Roman" w:hAnsi="Times New Roman" w:cs="Times New Roman"/>
                <w:sz w:val="28"/>
                <w:szCs w:val="28"/>
              </w:rPr>
              <w:t>Управления финансов администрации Малосердобинского района Пензенской области</w:t>
            </w:r>
            <w:r w:rsidR="008547AE">
              <w:rPr>
                <w:rFonts w:ascii="Times New Roman" w:hAnsi="Times New Roman" w:cs="Times New Roman"/>
                <w:sz w:val="28"/>
                <w:szCs w:val="28"/>
              </w:rPr>
              <w:t xml:space="preserve"> №</w:t>
            </w:r>
            <w:r w:rsidR="00B7088E">
              <w:rPr>
                <w:rFonts w:ascii="Times New Roman" w:hAnsi="Times New Roman" w:cs="Times New Roman"/>
                <w:sz w:val="28"/>
                <w:szCs w:val="28"/>
              </w:rPr>
              <w:t>7</w:t>
            </w:r>
            <w:r w:rsidR="008547AE">
              <w:rPr>
                <w:rFonts w:ascii="Times New Roman" w:hAnsi="Times New Roman" w:cs="Times New Roman"/>
                <w:sz w:val="28"/>
                <w:szCs w:val="28"/>
              </w:rPr>
              <w:t xml:space="preserve">3 от </w:t>
            </w:r>
            <w:r w:rsidR="00B7088E">
              <w:rPr>
                <w:rFonts w:ascii="Times New Roman" w:hAnsi="Times New Roman" w:cs="Times New Roman"/>
                <w:sz w:val="28"/>
                <w:szCs w:val="28"/>
              </w:rPr>
              <w:t>29</w:t>
            </w:r>
            <w:r w:rsidR="008547AE">
              <w:rPr>
                <w:rFonts w:ascii="Times New Roman" w:hAnsi="Times New Roman" w:cs="Times New Roman"/>
                <w:sz w:val="28"/>
                <w:szCs w:val="28"/>
              </w:rPr>
              <w:t>.12.201</w:t>
            </w:r>
            <w:r w:rsidR="00B7088E">
              <w:rPr>
                <w:rFonts w:ascii="Times New Roman" w:hAnsi="Times New Roman" w:cs="Times New Roman"/>
                <w:sz w:val="28"/>
                <w:szCs w:val="28"/>
              </w:rPr>
              <w:t>8</w:t>
            </w:r>
            <w:r w:rsidR="008547AE">
              <w:rPr>
                <w:rFonts w:ascii="Times New Roman" w:hAnsi="Times New Roman" w:cs="Times New Roman"/>
                <w:sz w:val="28"/>
                <w:szCs w:val="28"/>
              </w:rPr>
              <w:t xml:space="preserve"> г.)</w:t>
            </w:r>
          </w:p>
        </w:tc>
      </w:tr>
      <w:tr w:rsidR="00A84640" w:rsidRPr="004E4362" w:rsidTr="004E4362">
        <w:tc>
          <w:tcPr>
            <w:tcW w:w="13858" w:type="dxa"/>
            <w:gridSpan w:val="4"/>
          </w:tcPr>
          <w:p w:rsidR="00A84640"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Особенности отражения отдельных объектов учета</w:t>
            </w:r>
          </w:p>
        </w:tc>
      </w:tr>
      <w:tr w:rsidR="00DF417A" w:rsidRPr="004E4362" w:rsidTr="004E4362">
        <w:tc>
          <w:tcPr>
            <w:tcW w:w="2139"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Некассовые операции</w:t>
            </w:r>
          </w:p>
        </w:tc>
        <w:tc>
          <w:tcPr>
            <w:tcW w:w="1636"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1 205 00 000</w:t>
            </w:r>
          </w:p>
          <w:p w:rsidR="00A84640"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1 209 00 000</w:t>
            </w:r>
          </w:p>
          <w:p w:rsidR="00A84640"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1 208 00 000</w:t>
            </w:r>
          </w:p>
          <w:p w:rsidR="00A84640"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1 302 00</w:t>
            </w:r>
            <w:r w:rsidR="004E4362">
              <w:rPr>
                <w:rFonts w:ascii="Times New Roman" w:hAnsi="Times New Roman" w:cs="Times New Roman"/>
                <w:sz w:val="28"/>
                <w:szCs w:val="28"/>
              </w:rPr>
              <w:t> </w:t>
            </w:r>
            <w:r w:rsidRPr="004E4362">
              <w:rPr>
                <w:rFonts w:ascii="Times New Roman" w:hAnsi="Times New Roman" w:cs="Times New Roman"/>
                <w:sz w:val="28"/>
                <w:szCs w:val="28"/>
              </w:rPr>
              <w:t>000</w:t>
            </w:r>
          </w:p>
          <w:p w:rsidR="00A84640" w:rsidRPr="004E4362" w:rsidRDefault="00A84640" w:rsidP="00A84640">
            <w:pPr>
              <w:rPr>
                <w:rFonts w:ascii="Times New Roman" w:hAnsi="Times New Roman" w:cs="Times New Roman"/>
                <w:sz w:val="28"/>
                <w:szCs w:val="28"/>
              </w:rPr>
            </w:pPr>
          </w:p>
        </w:tc>
        <w:tc>
          <w:tcPr>
            <w:tcW w:w="4838"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К некассовым операциям отнесены: операции по удержанию пени, штрафных санкций из суммы, подлежащей уплате контрагенту за поставленные ТМЦ, выполненные работы, оказанные услуги, операции по удержанию из заработной платы по решению руководителя подотчетных средств, вовремя не возвращенных работником</w:t>
            </w:r>
          </w:p>
        </w:tc>
        <w:tc>
          <w:tcPr>
            <w:tcW w:w="5245" w:type="dxa"/>
          </w:tcPr>
          <w:p w:rsidR="00DF417A" w:rsidRPr="004E4362" w:rsidRDefault="00DF417A">
            <w:pPr>
              <w:jc w:val="center"/>
              <w:rPr>
                <w:rFonts w:ascii="Times New Roman" w:hAnsi="Times New Roman" w:cs="Times New Roman"/>
                <w:sz w:val="28"/>
                <w:szCs w:val="28"/>
              </w:rPr>
            </w:pPr>
          </w:p>
        </w:tc>
      </w:tr>
      <w:tr w:rsidR="00A84640" w:rsidRPr="004E4362" w:rsidTr="004E4362">
        <w:tc>
          <w:tcPr>
            <w:tcW w:w="13858" w:type="dxa"/>
            <w:gridSpan w:val="4"/>
          </w:tcPr>
          <w:p w:rsidR="00A84640"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Организационно-технические аспекты формирования информации об отдельных объектах учета</w:t>
            </w:r>
          </w:p>
        </w:tc>
      </w:tr>
      <w:tr w:rsidR="00DF417A" w:rsidRPr="004E4362" w:rsidTr="004E4362">
        <w:tc>
          <w:tcPr>
            <w:tcW w:w="2139"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Расчет заработной платы</w:t>
            </w:r>
          </w:p>
        </w:tc>
        <w:tc>
          <w:tcPr>
            <w:tcW w:w="1636" w:type="dxa"/>
          </w:tcPr>
          <w:p w:rsidR="00DF417A" w:rsidRPr="004E4362" w:rsidRDefault="00DF417A">
            <w:pPr>
              <w:jc w:val="center"/>
              <w:rPr>
                <w:rFonts w:ascii="Times New Roman" w:hAnsi="Times New Roman" w:cs="Times New Roman"/>
                <w:sz w:val="28"/>
                <w:szCs w:val="28"/>
              </w:rPr>
            </w:pPr>
          </w:p>
        </w:tc>
        <w:tc>
          <w:tcPr>
            <w:tcW w:w="4838" w:type="dxa"/>
          </w:tcPr>
          <w:p w:rsidR="00DF417A" w:rsidRPr="004E4362" w:rsidRDefault="00A84640">
            <w:pPr>
              <w:jc w:val="center"/>
              <w:rPr>
                <w:rFonts w:ascii="Times New Roman" w:hAnsi="Times New Roman" w:cs="Times New Roman"/>
                <w:sz w:val="28"/>
                <w:szCs w:val="28"/>
              </w:rPr>
            </w:pPr>
            <w:r w:rsidRPr="004E4362">
              <w:rPr>
                <w:rFonts w:ascii="Times New Roman" w:hAnsi="Times New Roman" w:cs="Times New Roman"/>
                <w:sz w:val="28"/>
                <w:szCs w:val="28"/>
              </w:rPr>
              <w:t>Осуществляется программным способом с использованием программы АС «Смета»</w:t>
            </w:r>
          </w:p>
        </w:tc>
        <w:tc>
          <w:tcPr>
            <w:tcW w:w="5245" w:type="dxa"/>
          </w:tcPr>
          <w:p w:rsidR="00DF417A" w:rsidRPr="004E4362" w:rsidRDefault="00DF417A">
            <w:pPr>
              <w:jc w:val="center"/>
              <w:rPr>
                <w:rFonts w:ascii="Times New Roman" w:hAnsi="Times New Roman" w:cs="Times New Roman"/>
                <w:sz w:val="28"/>
                <w:szCs w:val="28"/>
              </w:rPr>
            </w:pPr>
          </w:p>
        </w:tc>
      </w:tr>
      <w:tr w:rsidR="00A84640" w:rsidRPr="004E4362" w:rsidTr="004E4362">
        <w:tc>
          <w:tcPr>
            <w:tcW w:w="2139" w:type="dxa"/>
          </w:tcPr>
          <w:p w:rsidR="00A84640" w:rsidRPr="004E4362" w:rsidRDefault="007F59E7">
            <w:pPr>
              <w:jc w:val="center"/>
              <w:rPr>
                <w:rFonts w:ascii="Times New Roman" w:hAnsi="Times New Roman" w:cs="Times New Roman"/>
                <w:sz w:val="28"/>
                <w:szCs w:val="28"/>
              </w:rPr>
            </w:pPr>
            <w:r w:rsidRPr="004E4362">
              <w:rPr>
                <w:rFonts w:ascii="Times New Roman" w:hAnsi="Times New Roman" w:cs="Times New Roman"/>
                <w:sz w:val="28"/>
                <w:szCs w:val="28"/>
              </w:rPr>
              <w:t xml:space="preserve">Журналы операций, оборотные ведомости, </w:t>
            </w:r>
            <w:r w:rsidRPr="004E4362">
              <w:rPr>
                <w:rFonts w:ascii="Times New Roman" w:hAnsi="Times New Roman" w:cs="Times New Roman"/>
                <w:sz w:val="28"/>
                <w:szCs w:val="28"/>
              </w:rPr>
              <w:lastRenderedPageBreak/>
              <w:t>инвентарные карточки основных средств</w:t>
            </w:r>
          </w:p>
        </w:tc>
        <w:tc>
          <w:tcPr>
            <w:tcW w:w="1636" w:type="dxa"/>
          </w:tcPr>
          <w:p w:rsidR="00A84640" w:rsidRPr="004E4362" w:rsidRDefault="00A84640">
            <w:pPr>
              <w:jc w:val="center"/>
              <w:rPr>
                <w:rFonts w:ascii="Times New Roman" w:hAnsi="Times New Roman" w:cs="Times New Roman"/>
                <w:sz w:val="28"/>
                <w:szCs w:val="28"/>
              </w:rPr>
            </w:pPr>
          </w:p>
        </w:tc>
        <w:tc>
          <w:tcPr>
            <w:tcW w:w="4838" w:type="dxa"/>
          </w:tcPr>
          <w:p w:rsidR="00212344" w:rsidRPr="00212344" w:rsidRDefault="00212344" w:rsidP="00212344">
            <w:pPr>
              <w:pStyle w:val="ConsPlusNormal"/>
              <w:ind w:firstLine="540"/>
              <w:jc w:val="both"/>
              <w:rPr>
                <w:rFonts w:ascii="Times New Roman" w:hAnsi="Times New Roman" w:cs="Times New Roman"/>
                <w:sz w:val="28"/>
                <w:szCs w:val="28"/>
              </w:rPr>
            </w:pPr>
            <w:r w:rsidRPr="00212344">
              <w:rPr>
                <w:rFonts w:ascii="Times New Roman" w:hAnsi="Times New Roman" w:cs="Times New Roman"/>
                <w:sz w:val="28"/>
                <w:szCs w:val="28"/>
              </w:rPr>
              <w:t xml:space="preserve">Регистры  бюджетного учета формируются с применением компьютера и программы АС </w:t>
            </w:r>
            <w:r w:rsidRPr="00212344">
              <w:rPr>
                <w:rFonts w:ascii="Times New Roman" w:hAnsi="Times New Roman" w:cs="Times New Roman"/>
                <w:sz w:val="28"/>
                <w:szCs w:val="28"/>
              </w:rPr>
              <w:lastRenderedPageBreak/>
              <w:t>«Смета» и хранятся   на бумажном носителе.</w:t>
            </w:r>
          </w:p>
          <w:p w:rsidR="00A84640" w:rsidRPr="004E4362" w:rsidRDefault="00A84640">
            <w:pPr>
              <w:jc w:val="center"/>
              <w:rPr>
                <w:rFonts w:ascii="Times New Roman" w:hAnsi="Times New Roman" w:cs="Times New Roman"/>
                <w:sz w:val="28"/>
                <w:szCs w:val="28"/>
              </w:rPr>
            </w:pPr>
          </w:p>
        </w:tc>
        <w:tc>
          <w:tcPr>
            <w:tcW w:w="5245" w:type="dxa"/>
          </w:tcPr>
          <w:p w:rsidR="00A84640" w:rsidRPr="004E4362" w:rsidRDefault="00A84640">
            <w:pPr>
              <w:jc w:val="center"/>
              <w:rPr>
                <w:rFonts w:ascii="Times New Roman" w:hAnsi="Times New Roman" w:cs="Times New Roman"/>
                <w:sz w:val="28"/>
                <w:szCs w:val="28"/>
              </w:rPr>
            </w:pPr>
          </w:p>
        </w:tc>
      </w:tr>
      <w:tr w:rsidR="00A84640" w:rsidRPr="004E4362" w:rsidTr="004E4362">
        <w:tc>
          <w:tcPr>
            <w:tcW w:w="2139" w:type="dxa"/>
          </w:tcPr>
          <w:p w:rsidR="00A84640" w:rsidRPr="004E4362" w:rsidRDefault="007F59E7">
            <w:pPr>
              <w:jc w:val="center"/>
              <w:rPr>
                <w:rFonts w:ascii="Times New Roman" w:hAnsi="Times New Roman" w:cs="Times New Roman"/>
                <w:sz w:val="28"/>
                <w:szCs w:val="28"/>
              </w:rPr>
            </w:pPr>
            <w:r w:rsidRPr="004E4362">
              <w:rPr>
                <w:rFonts w:ascii="Times New Roman" w:hAnsi="Times New Roman" w:cs="Times New Roman"/>
                <w:sz w:val="28"/>
                <w:szCs w:val="28"/>
              </w:rPr>
              <w:lastRenderedPageBreak/>
              <w:t>Консолидированная отчетность</w:t>
            </w:r>
          </w:p>
        </w:tc>
        <w:tc>
          <w:tcPr>
            <w:tcW w:w="1636" w:type="dxa"/>
          </w:tcPr>
          <w:p w:rsidR="00A84640" w:rsidRPr="004E4362" w:rsidRDefault="00A84640">
            <w:pPr>
              <w:jc w:val="center"/>
              <w:rPr>
                <w:rFonts w:ascii="Times New Roman" w:hAnsi="Times New Roman" w:cs="Times New Roman"/>
                <w:sz w:val="28"/>
                <w:szCs w:val="28"/>
              </w:rPr>
            </w:pPr>
          </w:p>
        </w:tc>
        <w:tc>
          <w:tcPr>
            <w:tcW w:w="4838" w:type="dxa"/>
          </w:tcPr>
          <w:p w:rsidR="00A84640" w:rsidRPr="004E4362" w:rsidRDefault="007F59E7">
            <w:pPr>
              <w:jc w:val="center"/>
              <w:rPr>
                <w:rFonts w:ascii="Times New Roman" w:hAnsi="Times New Roman" w:cs="Times New Roman"/>
                <w:sz w:val="28"/>
                <w:szCs w:val="28"/>
              </w:rPr>
            </w:pPr>
            <w:r w:rsidRPr="004E4362">
              <w:rPr>
                <w:rFonts w:ascii="Times New Roman" w:hAnsi="Times New Roman" w:cs="Times New Roman"/>
                <w:sz w:val="28"/>
                <w:szCs w:val="28"/>
              </w:rPr>
              <w:t>Формируется в системе «Свод Смарт»</w:t>
            </w:r>
          </w:p>
        </w:tc>
        <w:tc>
          <w:tcPr>
            <w:tcW w:w="5245" w:type="dxa"/>
          </w:tcPr>
          <w:p w:rsidR="00A84640" w:rsidRPr="004E4362" w:rsidRDefault="00A84640">
            <w:pPr>
              <w:jc w:val="center"/>
              <w:rPr>
                <w:rFonts w:ascii="Times New Roman" w:hAnsi="Times New Roman" w:cs="Times New Roman"/>
                <w:sz w:val="28"/>
                <w:szCs w:val="28"/>
              </w:rPr>
            </w:pPr>
          </w:p>
        </w:tc>
      </w:tr>
    </w:tbl>
    <w:p w:rsidR="00DF417A" w:rsidRPr="004E4362" w:rsidRDefault="00DF417A">
      <w:pPr>
        <w:jc w:val="center"/>
        <w:rPr>
          <w:sz w:val="28"/>
          <w:szCs w:val="28"/>
        </w:rPr>
      </w:pPr>
    </w:p>
    <w:sectPr w:rsidR="00DF417A" w:rsidRPr="004E4362" w:rsidSect="004E436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DF417A"/>
    <w:rsid w:val="0014228D"/>
    <w:rsid w:val="00212344"/>
    <w:rsid w:val="002D12FA"/>
    <w:rsid w:val="004E4362"/>
    <w:rsid w:val="005B4A09"/>
    <w:rsid w:val="007F59E7"/>
    <w:rsid w:val="008547AE"/>
    <w:rsid w:val="009612D7"/>
    <w:rsid w:val="00A84640"/>
    <w:rsid w:val="00AC0510"/>
    <w:rsid w:val="00B7088E"/>
    <w:rsid w:val="00C10767"/>
    <w:rsid w:val="00DA1D92"/>
    <w:rsid w:val="00DF4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1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12344"/>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0562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финансов</dc:creator>
  <cp:lastModifiedBy>Управление финансов</cp:lastModifiedBy>
  <cp:revision>2</cp:revision>
  <dcterms:created xsi:type="dcterms:W3CDTF">2025-07-01T08:33:00Z</dcterms:created>
  <dcterms:modified xsi:type="dcterms:W3CDTF">2025-07-01T08:33:00Z</dcterms:modified>
</cp:coreProperties>
</file>