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ТЕРРИТОРИАЛЬНАЯ</w:t>
      </w:r>
      <w:r>
        <w:t xml:space="preserve"> </w:t>
      </w:r>
      <w:r>
        <w:rPr>
          <w:b/>
          <w:sz w:val="28"/>
          <w:szCs w:val="28"/>
        </w:rPr>
        <w:t xml:space="preserve">ИЗБИРАТЕЛЬНАЯ КОМИССИЯ</w:t>
      </w:r>
      <w:r>
        <w:rPr>
          <w:b/>
          <w:sz w:val="28"/>
          <w:szCs w:val="28"/>
        </w:rPr>
      </w:r>
    </w:p>
    <w:p>
      <w:pPr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МАЛОСЕРДОБИНСКОГО РАЙОНА ПЕНЗЕНСКОЙ ОБЛАСТИ</w:t>
      </w:r>
      <w:r>
        <w:rPr>
          <w:b/>
          <w:sz w:val="28"/>
          <w:szCs w:val="28"/>
        </w:rPr>
      </w:r>
    </w:p>
    <w:p>
      <w:pPr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</w:t>
      </w:r>
      <w:r>
        <w:rPr>
          <w:b/>
          <w:sz w:val="28"/>
          <w:szCs w:val="28"/>
        </w:rPr>
      </w:r>
    </w:p>
    <w:p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>
        <w:tblPrEx/>
        <w:trPr/>
        <w:tc>
          <w:tcPr>
            <w:tcBorders>
              <w:bottom w:val="single" w:color="auto" w:sz="6" w:space="0"/>
            </w:tcBorders>
            <w:tcW w:w="2905" w:type="dxa"/>
            <w:textDirection w:val="lrTb"/>
            <w:noWrap w:val="false"/>
          </w:tcPr>
          <w:p>
            <w:pPr>
              <w:jc w:val="center"/>
              <w:tabs>
                <w:tab w:val="left" w:pos="2835" w:leader="none"/>
                <w:tab w:val="left" w:pos="6237" w:leader="none"/>
              </w:tabs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25.07.2026</w:t>
            </w:r>
            <w:r>
              <w:rPr>
                <w:color w:val="auto"/>
                <w:sz w:val="28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tabs>
                <w:tab w:val="left" w:pos="2835" w:leader="none"/>
                <w:tab w:val="left" w:pos="6237" w:leader="none"/>
              </w:tabs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384" w:type="dxa"/>
            <w:textDirection w:val="lrTb"/>
            <w:noWrap w:val="false"/>
          </w:tcPr>
          <w:p>
            <w:pPr>
              <w:tabs>
                <w:tab w:val="left" w:pos="2835" w:leader="none"/>
                <w:tab w:val="left" w:pos="6237" w:leader="none"/>
              </w:tabs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№</w:t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Borders>
              <w:bottom w:val="single" w:color="auto" w:sz="6" w:space="0"/>
            </w:tcBorders>
            <w:tcW w:w="2309" w:type="dxa"/>
            <w:textDirection w:val="lrTb"/>
            <w:noWrap w:val="false"/>
          </w:tcPr>
          <w:p>
            <w:pPr>
              <w:jc w:val="center"/>
              <w:tabs>
                <w:tab w:val="left" w:pos="2835" w:leader="none"/>
                <w:tab w:val="left" w:pos="6237" w:leader="none"/>
              </w:tabs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21/51</w:t>
            </w:r>
            <w:r>
              <w:rPr>
                <w:color w:val="auto"/>
                <w:sz w:val="28"/>
                <w:szCs w:val="28"/>
              </w:rPr>
            </w:r>
          </w:p>
        </w:tc>
      </w:tr>
    </w:tbl>
    <w:p>
      <w:pPr>
        <w:spacing w:line="276" w:lineRule="auto"/>
        <w:rPr>
          <w:color w:val="auto"/>
        </w:rPr>
      </w:pPr>
      <w:r>
        <w:rPr>
          <w:color w:val="auto"/>
        </w:rPr>
      </w:r>
      <w:r>
        <w:rPr>
          <w:color w:val="auto"/>
        </w:rPr>
      </w:r>
    </w:p>
    <w:p>
      <w:pPr>
        <w:jc w:val="center"/>
        <w:spacing w:line="276" w:lineRule="auto"/>
      </w:pPr>
      <w:r>
        <w:t xml:space="preserve">с. Малая Сердоба</w:t>
      </w:r>
      <w:r/>
    </w:p>
    <w:p>
      <w:pPr>
        <w:jc w:val="center"/>
        <w:tabs>
          <w:tab w:val="left" w:pos="2835" w:leader="none"/>
          <w:tab w:val="left" w:pos="6237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99"/>
      </w:pPr>
      <w:r>
        <w:t xml:space="preserve">О применении средств видеорегистрации (видеофиксации) на выборах депутатов Государственной Думы Федерального Собрания Российской Федерации восьмого созыва и совмещенных с ними выборах, </w:t>
      </w:r>
      <w:r/>
      <w:r>
        <w:t xml:space="preserve">назначенных на 20 сентября 2026 года</w:t>
      </w:r>
      <w:r>
        <w:br/>
      </w:r>
      <w:r/>
      <w:r/>
      <w:r/>
    </w:p>
    <w:p>
      <w:pPr>
        <w:ind w:left="0" w:right="565" w:firstLine="850"/>
        <w:jc w:val="both"/>
        <w:spacing w:line="360" w:lineRule="auto"/>
        <w:rPr>
          <w:rFonts w:ascii="Liberation Sans" w:hAnsi="Liberation Sans" w:cs="Liberation Sans"/>
          <w:b w:val="0"/>
          <w:bCs w:val="0"/>
          <w:color w:val="auto"/>
          <w:sz w:val="28"/>
          <w:szCs w:val="28"/>
        </w:rPr>
      </w:pPr>
      <w:r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  <w:t xml:space="preserve">Руководствуясь постановлением Центральной избирательной комиссии Российской Федерации от 15 апреля 2026 года № 3/29-3 «О видеонаблюдении при проведении выборов депутатов Государственной Думы Федерального Собрания Российской Федерации девятого созыва» и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8"/>
          <w:szCs w:val="28"/>
        </w:rPr>
        <w:t xml:space="preserve">Постановлением избирательной комиссии Пензенской области от 24.07.2026 года № 111/823-7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8"/>
          <w:szCs w:val="28"/>
        </w:rPr>
        <w:t xml:space="preserve">«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8"/>
          <w:szCs w:val="28"/>
        </w:rPr>
        <w:t xml:space="preserve">О применении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8"/>
          <w:szCs w:val="28"/>
        </w:rPr>
        <w:t xml:space="preserve">в участковых избирательных комисс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8"/>
          <w:szCs w:val="28"/>
        </w:rPr>
        <w:t xml:space="preserve">иях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8"/>
          <w:szCs w:val="28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8"/>
          <w:szCs w:val="28"/>
        </w:rPr>
        <w:t xml:space="preserve">средств видеорегистрации (видеофиксации)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8"/>
          <w:szCs w:val="28"/>
        </w:rPr>
        <w:t xml:space="preserve">при проведении выборов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8"/>
          <w:szCs w:val="28"/>
        </w:rPr>
        <w:t xml:space="preserve">в единый день голосования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8"/>
          <w:szCs w:val="28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8"/>
          <w:szCs w:val="28"/>
        </w:rPr>
        <w:t xml:space="preserve">20 сентября 2026 года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8"/>
          <w:szCs w:val="28"/>
        </w:rPr>
        <w:t xml:space="preserve">»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8"/>
          <w:szCs w:val="28"/>
        </w:rPr>
        <w:t xml:space="preserve">,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8"/>
          <w:szCs w:val="28"/>
        </w:rPr>
        <w:t xml:space="preserve">в целях обеспечения со</w:t>
      </w:r>
      <w:r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  <w:t xml:space="preserve">хранности бюллетеней в дни голосования 18, 19 и </w:t>
      </w:r>
      <w:r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  <w:t xml:space="preserve">20 сентября 2026 г</w:t>
      </w:r>
      <w:r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  <w:t xml:space="preserve">ода в помещениях избирательных комиссий, не оборудованных средствами видеонаблюдения, с учетом рекомендаций Центральной избирательной комиссии Российской Федерации по применению в участковых избирательных комиссиях средств видеорегистрации (видеофиксации),</w:t>
      </w:r>
      <w:r>
        <w:rPr>
          <w:rFonts w:ascii="Liberation Sans" w:hAnsi="Liberation Sans" w:eastAsia="Liberation Sans" w:cs="Liberation Sans"/>
          <w:b w:val="0"/>
          <w:bCs w:val="0"/>
        </w:rPr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8"/>
          <w:szCs w:val="28"/>
        </w:rPr>
      </w:r>
    </w:p>
    <w:p>
      <w:pPr>
        <w:ind w:left="0" w:right="565" w:firstLine="850"/>
        <w:jc w:val="both"/>
        <w:spacing w:line="360" w:lineRule="auto"/>
        <w:tabs>
          <w:tab w:val="num" w:pos="0" w:leader="none"/>
        </w:tabs>
        <w:rPr>
          <w:rFonts w:ascii="Liberation Sans" w:hAnsi="Liberation Sans" w:cs="Liberation Sans"/>
          <w:b w:val="0"/>
          <w:bCs w:val="0"/>
          <w:sz w:val="28"/>
          <w:szCs w:val="28"/>
        </w:rPr>
      </w:pPr>
      <w:r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  <w:t xml:space="preserve">те</w:t>
      </w:r>
      <w:r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  <w:t xml:space="preserve">рриториальная и</w:t>
      </w:r>
      <w:r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  <w:t xml:space="preserve">збирательная комиссия </w:t>
      </w:r>
      <w:r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  <w:t xml:space="preserve">Малосердобинского района </w:t>
      </w:r>
      <w:r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  <w:t xml:space="preserve">Пензенской области </w:t>
      </w:r>
      <w:r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  <w:t xml:space="preserve">постановляет</w:t>
      </w:r>
      <w:r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  <w:t xml:space="preserve">:</w:t>
      </w:r>
      <w:r>
        <w:rPr>
          <w:rFonts w:ascii="Liberation Sans" w:hAnsi="Liberation Sans" w:cs="Liberation Sans"/>
          <w:b w:val="0"/>
          <w:bCs w:val="0"/>
          <w:sz w:val="28"/>
          <w:szCs w:val="28"/>
        </w:rPr>
      </w:r>
    </w:p>
    <w:p>
      <w:pPr>
        <w:pStyle w:val="701"/>
        <w:ind w:left="0" w:right="565" w:firstLine="850"/>
        <w:jc w:val="both"/>
        <w:spacing w:line="360" w:lineRule="auto"/>
        <w:rPr>
          <w:rFonts w:ascii="Liberation Sans" w:hAnsi="Liberation Sans" w:cs="Liberation Sans"/>
          <w:b w:val="0"/>
          <w:bCs w:val="0"/>
          <w:sz w:val="28"/>
          <w:szCs w:val="28"/>
        </w:rPr>
      </w:pPr>
      <w:r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  <w:t xml:space="preserve">1. Руководствоваться </w:t>
      </w:r>
      <w:r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  <w:t xml:space="preserve">П</w:t>
      </w:r>
      <w:r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  <w:t xml:space="preserve">оряд</w:t>
      </w:r>
      <w:r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  <w:t xml:space="preserve">ком</w:t>
      </w:r>
      <w:r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8"/>
          <w:szCs w:val="28"/>
        </w:rPr>
        <w:t xml:space="preserve">применения средств видеорегистрации (видеофиксации) при проведении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8"/>
          <w:szCs w:val="28"/>
        </w:rPr>
        <w:t xml:space="preserve">выборов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8"/>
          <w:szCs w:val="28"/>
        </w:rPr>
        <w:t xml:space="preserve">в единый день гол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8"/>
          <w:szCs w:val="28"/>
        </w:rPr>
        <w:t xml:space="preserve">осования   </w:t>
      </w:r>
      <w:r>
        <w:rPr>
          <w:rFonts w:ascii="Liberation Sans" w:hAnsi="Liberation Sans" w:eastAsia="Liberation Sans" w:cs="Liberation Sans"/>
          <w:b w:val="0"/>
          <w:bCs w:val="0"/>
          <w:color w:val="auto"/>
          <w:sz w:val="28"/>
          <w:szCs w:val="28"/>
        </w:rPr>
        <w:t xml:space="preserve">20 сентября 2026 года</w:t>
      </w:r>
      <w:r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  <w:t xml:space="preserve"> (Приложение).</w:t>
      </w:r>
      <w:r>
        <w:rPr>
          <w:rFonts w:ascii="Liberation Sans" w:hAnsi="Liberation Sans" w:cs="Liberation Sans"/>
          <w:b w:val="0"/>
          <w:bCs w:val="0"/>
          <w:sz w:val="28"/>
          <w:szCs w:val="28"/>
        </w:rPr>
      </w:r>
    </w:p>
    <w:p>
      <w:pPr>
        <w:pStyle w:val="701"/>
        <w:ind w:left="0" w:right="565" w:firstLine="850"/>
        <w:jc w:val="both"/>
        <w:spacing w:line="360" w:lineRule="auto"/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</w:pPr>
      <w:r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  <w:t xml:space="preserve">2. Определить членов ТИК Лоскутова А.В. и Варыпаева В.В. о</w:t>
      </w:r>
      <w:r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  <w:t xml:space="preserve">тветственными:</w:t>
      </w:r>
      <w:r>
        <w:rPr>
          <w:rFonts w:ascii="Liberation Sans" w:hAnsi="Liberation Sans" w:cs="Liberation Sans"/>
          <w:b w:val="0"/>
          <w:bCs w:val="0"/>
          <w:sz w:val="28"/>
          <w:szCs w:val="28"/>
        </w:rPr>
      </w:r>
    </w:p>
    <w:p>
      <w:pPr>
        <w:pStyle w:val="701"/>
        <w:numPr>
          <w:ilvl w:val="0"/>
          <w:numId w:val="9"/>
        </w:numPr>
        <w:ind w:left="0" w:right="565" w:firstLine="0"/>
        <w:jc w:val="both"/>
        <w:spacing w:line="360" w:lineRule="auto"/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</w:pPr>
      <w:r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  <w:t xml:space="preserve">за работу со средствами видеонаблюдения </w:t>
      </w:r>
      <w:r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  <w:t xml:space="preserve">в помещени</w:t>
      </w:r>
      <w:r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  <w:t xml:space="preserve">и</w:t>
      </w:r>
      <w:r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  <w:t xml:space="preserve">т</w:t>
      </w:r>
      <w:r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  <w:t xml:space="preserve">ерриториальн</w:t>
      </w:r>
      <w:r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  <w:t xml:space="preserve">ой</w:t>
      </w:r>
      <w:r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  <w:t xml:space="preserve"> избирательн</w:t>
      </w:r>
      <w:r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  <w:t xml:space="preserve">ой</w:t>
      </w:r>
      <w:r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  <w:t xml:space="preserve"> комисси</w:t>
      </w:r>
      <w:r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  <w:t xml:space="preserve">и</w:t>
      </w:r>
      <w:r>
        <w:rPr>
          <w:rFonts w:ascii="Liberation Sans" w:hAnsi="Liberation Sans" w:cs="Liberation Sans"/>
          <w:b w:val="0"/>
          <w:bCs w:val="0"/>
          <w:sz w:val="28"/>
          <w:szCs w:val="28"/>
        </w:rPr>
      </w:r>
    </w:p>
    <w:p>
      <w:pPr>
        <w:pStyle w:val="701"/>
        <w:numPr>
          <w:ilvl w:val="0"/>
          <w:numId w:val="8"/>
        </w:numPr>
        <w:ind w:left="0" w:right="565" w:firstLine="0"/>
        <w:jc w:val="both"/>
        <w:spacing w:line="360" w:lineRule="auto"/>
        <w:rPr>
          <w:rFonts w:ascii="Liberation Sans" w:hAnsi="Liberation Sans" w:cs="Liberation Sans"/>
          <w:b w:val="0"/>
          <w:bCs w:val="0"/>
          <w:sz w:val="28"/>
          <w:szCs w:val="28"/>
        </w:rPr>
      </w:pPr>
      <w:r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  <w:t xml:space="preserve">з</w:t>
      </w:r>
      <w:r>
        <w:rPr>
          <w:color w:val="auto"/>
          <w:sz w:val="28"/>
          <w:szCs w:val="28"/>
        </w:rPr>
        <w:t xml:space="preserve">а применением средств видеорегистрации (видеофиксации), а также соблюдением установленных Порядком зон видимости камер видеорегистраторов (видеофиксаторов) в помещениях </w:t>
      </w:r>
      <w:r>
        <w:rPr>
          <w:color w:val="auto"/>
          <w:sz w:val="28"/>
          <w:szCs w:val="28"/>
        </w:rPr>
        <w:t xml:space="preserve">участковых</w:t>
      </w:r>
      <w:r>
        <w:rPr>
          <w:color w:val="auto"/>
          <w:sz w:val="28"/>
          <w:szCs w:val="28"/>
        </w:rPr>
        <w:t xml:space="preserve"> избирательных </w:t>
      </w:r>
      <w:r>
        <w:rPr>
          <w:color w:val="auto"/>
          <w:sz w:val="28"/>
          <w:szCs w:val="28"/>
        </w:rPr>
        <w:t xml:space="preserve">комиссий</w:t>
      </w:r>
      <w:r>
        <w:rPr>
          <w:color w:val="auto"/>
          <w:sz w:val="28"/>
          <w:szCs w:val="28"/>
        </w:rPr>
        <w:t xml:space="preserve">.</w:t>
      </w:r>
      <w:r/>
      <w:r/>
    </w:p>
    <w:p>
      <w:pPr>
        <w:pStyle w:val="701"/>
        <w:ind w:left="0" w:right="565" w:firstLine="850"/>
        <w:jc w:val="both"/>
        <w:spacing w:line="360" w:lineRule="auto"/>
        <w:rPr>
          <w:rFonts w:ascii="Liberation Sans" w:hAnsi="Liberation Sans" w:cs="Liberation Sans"/>
          <w:b w:val="0"/>
          <w:bCs w:val="0"/>
          <w:sz w:val="28"/>
          <w:szCs w:val="28"/>
        </w:rPr>
      </w:pPr>
      <w:r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  <w:t xml:space="preserve">3. Контроль за исполнением настоящего постановления возложить на </w:t>
      </w:r>
      <w:r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  <w:t xml:space="preserve">заместителя председателя </w:t>
      </w:r>
      <w:r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  <w:t xml:space="preserve">территориальной и</w:t>
      </w:r>
      <w:r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  <w:t xml:space="preserve">збирательной комиссии</w:t>
      </w:r>
      <w:r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  <w:t xml:space="preserve">Малосердобинского района </w:t>
      </w:r>
      <w:r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  <w:t xml:space="preserve">Пензенской области И.А. Ломовцеву</w:t>
      </w:r>
      <w:r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  <w:t xml:space="preserve">.</w:t>
      </w:r>
      <w:r>
        <w:rPr>
          <w:rFonts w:ascii="Liberation Sans" w:hAnsi="Liberation Sans" w:cs="Liberation Sans"/>
          <w:b w:val="0"/>
          <w:bCs w:val="0"/>
          <w:sz w:val="28"/>
          <w:szCs w:val="28"/>
        </w:rPr>
      </w:r>
    </w:p>
    <w:p>
      <w:pPr>
        <w:ind w:left="0" w:right="565" w:firstLine="850"/>
        <w:jc w:val="both"/>
        <w:spacing w:line="336" w:lineRule="auto"/>
        <w:rPr>
          <w:rFonts w:ascii="Liberation Sans" w:hAnsi="Liberation Sans" w:cs="Liberation Sans"/>
          <w:b w:val="0"/>
          <w:bCs w:val="0"/>
          <w:sz w:val="28"/>
          <w:szCs w:val="28"/>
        </w:rPr>
      </w:pPr>
      <w:r>
        <w:rPr>
          <w:rFonts w:ascii="Liberation Sans" w:hAnsi="Liberation Sans" w:cs="Liberation Sans"/>
          <w:b w:val="0"/>
          <w:bCs w:val="0"/>
          <w:sz w:val="28"/>
          <w:szCs w:val="28"/>
        </w:rPr>
      </w:r>
      <w:r>
        <w:rPr>
          <w:rFonts w:ascii="Liberation Sans" w:hAnsi="Liberation Sans" w:cs="Liberation Sans"/>
          <w:b w:val="0"/>
          <w:bCs w:val="0"/>
          <w:sz w:val="28"/>
          <w:szCs w:val="28"/>
        </w:rPr>
      </w:r>
    </w:p>
    <w:p>
      <w:pPr>
        <w:ind w:left="0" w:right="565" w:firstLine="850"/>
        <w:jc w:val="both"/>
        <w:spacing w:line="336" w:lineRule="auto"/>
        <w:rPr>
          <w:rFonts w:ascii="Liberation Sans" w:hAnsi="Liberation Sans" w:cs="Liberation Sans"/>
          <w:b w:val="0"/>
          <w:bCs w:val="0"/>
          <w:sz w:val="28"/>
          <w:szCs w:val="28"/>
        </w:rPr>
      </w:pPr>
      <w:r>
        <w:rPr>
          <w:rFonts w:ascii="Liberation Sans" w:hAnsi="Liberation Sans" w:cs="Liberation Sans"/>
          <w:b w:val="0"/>
          <w:bCs w:val="0"/>
          <w:sz w:val="28"/>
          <w:szCs w:val="28"/>
        </w:rPr>
      </w:r>
      <w:r>
        <w:rPr>
          <w:rFonts w:ascii="Liberation Sans" w:hAnsi="Liberation Sans" w:cs="Liberation Sans"/>
          <w:b w:val="0"/>
          <w:bCs w:val="0"/>
          <w:sz w:val="28"/>
          <w:szCs w:val="28"/>
        </w:rPr>
      </w:r>
    </w:p>
    <w:p>
      <w:pPr>
        <w:ind w:left="0" w:right="565" w:firstLine="850"/>
        <w:jc w:val="both"/>
        <w:spacing w:line="336" w:lineRule="auto"/>
        <w:rPr>
          <w:rFonts w:ascii="Liberation Sans" w:hAnsi="Liberation Sans" w:cs="Liberation Sans"/>
          <w:b w:val="0"/>
          <w:bCs w:val="0"/>
          <w:sz w:val="28"/>
          <w:szCs w:val="28"/>
        </w:rPr>
      </w:pPr>
      <w:r>
        <w:rPr>
          <w:rFonts w:ascii="Liberation Sans" w:hAnsi="Liberation Sans" w:cs="Liberation Sans"/>
          <w:b w:val="0"/>
          <w:bCs w:val="0"/>
          <w:sz w:val="28"/>
          <w:szCs w:val="28"/>
        </w:rPr>
      </w:r>
      <w:r>
        <w:rPr>
          <w:rFonts w:ascii="Liberation Sans" w:hAnsi="Liberation Sans" w:cs="Liberation Sans"/>
          <w:b w:val="0"/>
          <w:bCs w:val="0"/>
          <w:sz w:val="28"/>
          <w:szCs w:val="28"/>
        </w:rPr>
      </w:r>
    </w:p>
    <w:p>
      <w:pPr>
        <w:ind w:left="0" w:right="565" w:firstLine="850"/>
        <w:jc w:val="both"/>
        <w:spacing w:line="336" w:lineRule="auto"/>
        <w:rPr>
          <w:rFonts w:ascii="Liberation Sans" w:hAnsi="Liberation Sans" w:cs="Liberation Sans"/>
          <w:b w:val="0"/>
          <w:bCs w:val="0"/>
          <w:sz w:val="28"/>
          <w:szCs w:val="28"/>
        </w:rPr>
      </w:pPr>
      <w:r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</w:r>
      <w:r>
        <w:rPr>
          <w:rFonts w:ascii="Liberation Sans" w:hAnsi="Liberation Sans" w:cs="Liberation Sans"/>
          <w:b w:val="0"/>
          <w:bCs w:val="0"/>
          <w:sz w:val="28"/>
          <w:szCs w:val="28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07"/>
        <w:gridCol w:w="4763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07" w:type="dxa"/>
            <w:vAlign w:val="center"/>
            <w:textDirection w:val="lrTb"/>
            <w:noWrap w:val="false"/>
          </w:tcPr>
          <w:p>
            <w:pPr>
              <w:pStyle w:val="684"/>
              <w:ind w:left="0" w:right="565" w:firstLine="0"/>
              <w:jc w:val="left"/>
              <w:rPr>
                <w:rFonts w:ascii="Liberation Sans" w:hAnsi="Liberation Sans" w:eastAsia="Liberation Sans" w:cs="Liberation Sans"/>
                <w:b w:val="0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sz w:val="24"/>
                <w:szCs w:val="24"/>
              </w:rPr>
              <w:t xml:space="preserve">Председатель </w:t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</w:rPr>
            </w:r>
          </w:p>
          <w:p>
            <w:pPr>
              <w:ind w:left="0" w:right="565" w:firstLine="0"/>
              <w:jc w:val="left"/>
              <w:rPr>
                <w:rFonts w:ascii="Liberation Sans" w:hAnsi="Liberation Sans" w:eastAsia="Liberation Sans" w:cs="Liberation Sans"/>
                <w:b w:val="0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sz w:val="24"/>
                <w:szCs w:val="24"/>
              </w:rPr>
              <w:t xml:space="preserve">территориальной</w:t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</w:rPr>
            </w:r>
          </w:p>
          <w:p>
            <w:pPr>
              <w:ind w:left="0" w:right="565" w:firstLine="0"/>
              <w:jc w:val="left"/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sz w:val="24"/>
                <w:szCs w:val="24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sz w:val="24"/>
                <w:szCs w:val="24"/>
              </w:rPr>
              <w:t xml:space="preserve">избирательной комиссии</w:t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63" w:type="dxa"/>
            <w:vAlign w:val="center"/>
            <w:textDirection w:val="lrTb"/>
            <w:noWrap w:val="false"/>
          </w:tcPr>
          <w:p>
            <w:pPr>
              <w:pStyle w:val="1_746"/>
              <w:ind w:left="0" w:right="565" w:firstLine="850"/>
              <w:jc w:val="right"/>
              <w:spacing w:line="360" w:lineRule="auto"/>
              <w:rPr>
                <w:rFonts w:ascii="Liberation Sans" w:hAnsi="Liberation Sans" w:cs="Liberation Sans"/>
                <w:sz w:val="28"/>
                <w:szCs w:val="28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sz w:val="24"/>
                <w:szCs w:val="24"/>
              </w:rPr>
              <w:t xml:space="preserve">Н.В. Коннова</w:t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sz w:val="24"/>
                <w:szCs w:val="24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07" w:type="dxa"/>
            <w:vAlign w:val="center"/>
            <w:textDirection w:val="lrTb"/>
            <w:noWrap w:val="false"/>
          </w:tcPr>
          <w:p>
            <w:pPr>
              <w:pStyle w:val="684"/>
              <w:ind w:left="0" w:right="565" w:firstLine="0"/>
              <w:jc w:val="left"/>
              <w:rPr>
                <w:rFonts w:ascii="Liberation Sans" w:hAnsi="Liberation Sans" w:eastAsia="Liberation Sans" w:cs="Liberation Sans"/>
                <w:b w:val="0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sz w:val="24"/>
                <w:szCs w:val="24"/>
              </w:rPr>
              <w:t xml:space="preserve">Секретарь </w:t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sz w:val="24"/>
                <w:szCs w:val="24"/>
              </w:rPr>
            </w:r>
          </w:p>
          <w:p>
            <w:pPr>
              <w:ind w:left="0" w:right="565" w:firstLine="0"/>
              <w:jc w:val="left"/>
              <w:rPr>
                <w:rFonts w:ascii="Liberation Sans" w:hAnsi="Liberation Sans" w:eastAsia="Liberation Sans" w:cs="Liberation Sans"/>
                <w:b w:val="0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sz w:val="24"/>
                <w:szCs w:val="24"/>
              </w:rPr>
              <w:t xml:space="preserve">территориальной </w:t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565" w:firstLine="0"/>
              <w:jc w:val="left"/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sz w:val="24"/>
                <w:szCs w:val="24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sz w:val="24"/>
                <w:szCs w:val="24"/>
              </w:rPr>
              <w:t xml:space="preserve">избирательной комиссии</w:t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63" w:type="dxa"/>
            <w:vAlign w:val="center"/>
            <w:textDirection w:val="lrTb"/>
            <w:noWrap w:val="false"/>
          </w:tcPr>
          <w:p>
            <w:pPr>
              <w:pStyle w:val="1_746"/>
              <w:ind w:left="0" w:right="565" w:firstLine="850"/>
              <w:jc w:val="right"/>
              <w:spacing w:line="360" w:lineRule="auto"/>
              <w:rPr>
                <w:rFonts w:ascii="Liberation Sans" w:hAnsi="Liberation Sans" w:cs="Liberation Sans"/>
                <w:sz w:val="28"/>
                <w:szCs w:val="28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sz w:val="24"/>
                <w:szCs w:val="24"/>
              </w:rPr>
              <w:t xml:space="preserve">Д.Н. Морозов</w:t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sz w:val="24"/>
                <w:szCs w:val="24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sz w:val="24"/>
                <w:szCs w:val="24"/>
              </w:rPr>
            </w:r>
          </w:p>
        </w:tc>
      </w:tr>
    </w:tbl>
    <w:p>
      <w:pPr>
        <w:ind w:left="0" w:right="565" w:firstLine="850"/>
        <w:jc w:val="both"/>
        <w:spacing w:line="276" w:lineRule="auto"/>
        <w:rPr>
          <w:rFonts w:ascii="Liberation Sans" w:hAnsi="Liberation Sans" w:cs="Liberation Sans"/>
          <w:sz w:val="28"/>
        </w:rPr>
      </w:pPr>
      <w:r>
        <w:rPr>
          <w:rFonts w:ascii="Liberation Sans" w:hAnsi="Liberation Sans" w:eastAsia="Liberation Sans" w:cs="Liberation Sans"/>
          <w:b w:val="0"/>
          <w:bCs w:val="0"/>
          <w:sz w:val="28"/>
          <w:lang w:val="ru-RU"/>
        </w:rPr>
      </w:r>
      <w:r>
        <w:rPr>
          <w:rFonts w:ascii="Liberation Sans" w:hAnsi="Liberation Sans" w:eastAsia="Liberation Sans" w:cs="Liberation Sans"/>
          <w:b w:val="0"/>
          <w:bCs w:val="0"/>
          <w:sz w:val="28"/>
          <w:lang w:val="ru-RU"/>
        </w:rPr>
      </w:r>
      <w:r>
        <w:rPr>
          <w:rFonts w:ascii="Liberation Sans" w:hAnsi="Liberation Sans" w:eastAsia="Liberation Sans" w:cs="Liberation Sans"/>
          <w:b w:val="0"/>
          <w:bCs w:val="0"/>
          <w:sz w:val="28"/>
          <w:lang w:val="ru-RU"/>
        </w:rPr>
      </w:r>
    </w:p>
    <w:p>
      <w:pPr>
        <w:jc w:val="right"/>
        <w:tabs>
          <w:tab w:val="left" w:pos="7350" w:leader="none"/>
        </w:tabs>
      </w:pPr>
      <w:r>
        <w:rPr>
          <w:bCs/>
          <w:sz w:val="28"/>
        </w:rPr>
        <w:br w:type="page" w:clear="all"/>
      </w:r>
      <w:r/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253"/>
        <w:gridCol w:w="5103"/>
      </w:tblGrid>
      <w:tr>
        <w:tblPrEx/>
        <w:trPr/>
        <w:tc>
          <w:tcPr>
            <w:tcW w:w="4253" w:type="dxa"/>
            <w:textDirection w:val="lrTb"/>
            <w:noWrap w:val="false"/>
          </w:tcPr>
          <w:p>
            <w:pPr>
              <w:contextualSpacing/>
              <w:jc w:val="center"/>
              <w:spacing w:after="1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Приложение</w:t>
            </w:r>
            <w:r>
              <w:rPr>
                <w:sz w:val="24"/>
              </w:rPr>
            </w:r>
          </w:p>
          <w:p>
            <w:pPr>
              <w:contextualSpacing/>
              <w:jc w:val="center"/>
              <w:rPr>
                <w:color w:val="ff0000"/>
                <w:sz w:val="24"/>
              </w:rPr>
            </w:pPr>
            <w:r>
              <w:rPr>
                <w:sz w:val="24"/>
              </w:rPr>
              <w:t xml:space="preserve">к постановлению </w:t>
            </w:r>
            <w:r>
              <w:rPr>
                <w:sz w:val="24"/>
              </w:rPr>
              <w:t xml:space="preserve">территориальной и</w:t>
            </w:r>
            <w:r>
              <w:rPr>
                <w:sz w:val="24"/>
              </w:rPr>
              <w:t xml:space="preserve">збирательной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комиссии </w:t>
            </w:r>
            <w:r>
              <w:rPr>
                <w:sz w:val="24"/>
              </w:rPr>
              <w:t xml:space="preserve">Малосердобинского района </w:t>
            </w:r>
            <w:r>
              <w:rPr>
                <w:sz w:val="24"/>
              </w:rPr>
              <w:t xml:space="preserve">Пензенской области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z w:val="24"/>
              </w:rPr>
              <w:t xml:space="preserve">25.07.2026</w:t>
            </w:r>
            <w:r>
              <w:rPr>
                <w:color w:val="ff0000"/>
                <w:sz w:val="24"/>
              </w:rPr>
            </w:r>
          </w:p>
          <w:p>
            <w:pPr>
              <w:contextualSpacing/>
              <w:jc w:val="center"/>
              <w:rPr>
                <w:color w:val="ff0000"/>
                <w:sz w:val="24"/>
              </w:rPr>
            </w:pPr>
            <w:r>
              <w:rPr>
                <w:color w:val="auto"/>
                <w:sz w:val="24"/>
              </w:rPr>
              <w:t xml:space="preserve"> № </w:t>
            </w:r>
            <w:r>
              <w:rPr>
                <w:color w:val="auto"/>
                <w:sz w:val="24"/>
              </w:rPr>
              <w:t xml:space="preserve">21/51</w:t>
            </w:r>
            <w:r>
              <w:rPr>
                <w:color w:val="ff0000"/>
                <w:sz w:val="24"/>
              </w:rPr>
            </w:r>
          </w:p>
        </w:tc>
      </w:tr>
      <w:tr>
        <w:tblPrEx/>
        <w:trPr/>
        <w:tc>
          <w:tcPr>
            <w:tcW w:w="4253" w:type="dxa"/>
            <w:textDirection w:val="lrTb"/>
            <w:noWrap w:val="false"/>
          </w:tcPr>
          <w:p>
            <w:pPr>
              <w:contextualSpacing/>
              <w:jc w:val="center"/>
              <w:spacing w:after="1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contextualSpacing/>
              <w:jc w:val="center"/>
              <w:spacing w:after="120"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contextualSpacing/>
        <w:jc w:val="center"/>
        <w:spacing w:line="276" w:lineRule="auto"/>
        <w:rPr>
          <w:b/>
          <w:szCs w:val="28"/>
        </w:rPr>
      </w:pPr>
      <w:r>
        <w:rPr>
          <w:b/>
          <w:szCs w:val="28"/>
        </w:rPr>
      </w:r>
      <w:r>
        <w:rPr>
          <w:b/>
          <w:szCs w:val="28"/>
        </w:rPr>
      </w:r>
    </w:p>
    <w:p>
      <w:pPr>
        <w:pStyle w:val="684"/>
        <w:contextualSpacing/>
        <w:jc w:val="center"/>
        <w:spacing w:before="0" w:after="0"/>
        <w:widowControl w:val="off"/>
        <w:tabs>
          <w:tab w:val="left" w:pos="0" w:leader="none"/>
          <w:tab w:val="clear" w:pos="708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Порядок </w:t>
        <w:br/>
        <w:t xml:space="preserve">применения средств видеорегистрации (видеофиксации) при проведении выборов в единый день голосования 20 сентября 2026 года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84"/>
        <w:contextualSpacing/>
        <w:jc w:val="center"/>
        <w:spacing w:before="0" w:after="0" w:line="276" w:lineRule="auto"/>
        <w:widowControl w:val="off"/>
        <w:tabs>
          <w:tab w:val="left" w:pos="0" w:leader="none"/>
          <w:tab w:val="clear" w:pos="708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84"/>
        <w:contextualSpacing/>
        <w:jc w:val="center"/>
        <w:spacing w:before="240" w:after="240" w:line="276" w:lineRule="auto"/>
        <w:shd w:val="clear" w:color="auto" w:fill="ffffff"/>
        <w:widowControl w:val="off"/>
        <w:tabs>
          <w:tab w:val="left" w:pos="0" w:leader="none"/>
          <w:tab w:val="left" w:pos="698" w:leader="none"/>
          <w:tab w:val="clear" w:pos="708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 Общие положения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84"/>
        <w:contextualSpacing/>
        <w:jc w:val="center"/>
        <w:spacing w:before="240" w:after="240" w:line="276" w:lineRule="auto"/>
        <w:shd w:val="clear" w:color="auto" w:fill="ffffff"/>
        <w:widowControl w:val="off"/>
        <w:tabs>
          <w:tab w:val="left" w:pos="0" w:leader="none"/>
          <w:tab w:val="left" w:pos="698" w:leader="none"/>
          <w:tab w:val="clear" w:pos="708" w:leader="none"/>
        </w:tabs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684"/>
        <w:contextualSpacing/>
        <w:ind w:firstLine="708"/>
        <w:jc w:val="both"/>
        <w:spacing w:before="0" w:after="0" w:line="276" w:lineRule="auto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1.1. Порядок применения средств видеорегистрации (видеофиксации) при проведении выборов в единый день голосования 20 сентября 2026 года (далее — Порядок) регламентирует организацию видеорегистрации (видеофиксации) в по</w:t>
      </w:r>
      <w:r>
        <w:rPr>
          <w:bCs/>
          <w:sz w:val="28"/>
          <w:szCs w:val="28"/>
        </w:rPr>
        <w:t xml:space="preserve">мещениях участковых избирательных комиссий (далее – УИК) , определяет объекты видеорегистрации (видеофиксации), время видеорегистрации (видеофиксации), порядок доступа к видеозаписям, полученным в ходе видеорегистрации (видеофиксации), и сроки их хранения.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84"/>
        <w:ind w:firstLine="709"/>
        <w:jc w:val="both"/>
        <w:spacing w:line="276" w:lineRule="auto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1.2. Средства видеорегистрации (видеофиксации) применяются </w:t>
        <w:br/>
        <w:t xml:space="preserve">в помещениях участковых избирательных комиссий (помещениях для голосования), не оборудованных средствами видеонаблюдения.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84"/>
        <w:ind w:firstLine="709"/>
        <w:jc w:val="both"/>
        <w:spacing w:line="276" w:lineRule="auto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1.3. Средства видеорегистрации (видеофиксации) представляют собой устройства стационарного или передвижного типа, предназначенные для записи, хранения и воспроизведения видеоинформации и звука.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84"/>
        <w:ind w:firstLine="709"/>
        <w:jc w:val="both"/>
        <w:spacing w:line="276" w:lineRule="auto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1.4. Избирательная комиссия Пензенской области о</w:t>
      </w:r>
      <w:r>
        <w:rPr>
          <w:bCs/>
          <w:sz w:val="28"/>
          <w:szCs w:val="28"/>
        </w:rPr>
        <w:t xml:space="preserve">существляет координацию деятельности территориальных избирательных комиссий (далее – ТИК) по вопросам организации и применения средств видеорегистрации (видеофиксации). ТИК обеспечивает контроль за применением УИК средства видеорегистрации (видеофиксации).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84"/>
        <w:ind w:firstLine="709"/>
        <w:jc w:val="both"/>
        <w:spacing w:line="276" w:lineRule="auto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1.5. В зоне видимости средств видеорегистрации (видеофиксации) в помещениях УИК (помещениях для голосования) должны находиться: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32"/>
        <w:numPr>
          <w:ilvl w:val="0"/>
          <w:numId w:val="5"/>
        </w:numPr>
        <w:jc w:val="both"/>
        <w:spacing w:line="276" w:lineRule="auto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ходе голосования – стационарные ящики для голосования; 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32"/>
        <w:numPr>
          <w:ilvl w:val="0"/>
          <w:numId w:val="5"/>
        </w:numPr>
        <w:jc w:val="both"/>
        <w:spacing w:line="276" w:lineRule="auto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ночное время – сейфы (металлические шкафы, металлические ящики), где хранятся сейф-пакеты с избирательными бюллетенями; стационарные ящики для голосования, в случае если они используются для хранения избирательных бюллетеней; 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32"/>
        <w:numPr>
          <w:ilvl w:val="0"/>
          <w:numId w:val="5"/>
        </w:numPr>
        <w:jc w:val="both"/>
        <w:spacing w:line="276" w:lineRule="auto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 проведении подсчета</w:t>
      </w:r>
      <w:r>
        <w:rPr>
          <w:bCs/>
          <w:sz w:val="28"/>
          <w:szCs w:val="28"/>
        </w:rPr>
        <w:t xml:space="preserve"> голосов избирателей – места погашения неиспользованных избирательных бюллетеней; места подсчета голосов избирателей по избирательным бюллетеням, извлеченным из сейф-пакетов; места непосредственного подсчета голосов избирателей по избирательным бюллетеням;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32"/>
        <w:numPr>
          <w:ilvl w:val="0"/>
          <w:numId w:val="5"/>
        </w:numPr>
        <w:jc w:val="both"/>
        <w:spacing w:line="276" w:lineRule="auto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места, где производится перемещение избирательных бюллетеней из ящиков для голосования в сейф-пакеты. 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84"/>
        <w:ind w:firstLine="709"/>
        <w:jc w:val="both"/>
        <w:spacing w:line="276" w:lineRule="auto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случ</w:t>
      </w:r>
      <w:r>
        <w:rPr>
          <w:bCs/>
          <w:sz w:val="28"/>
          <w:szCs w:val="28"/>
        </w:rPr>
        <w:t xml:space="preserve">ае если устройства видеорегистрации (видеофиксации) не обладают возможностью осуществлять видеорегистрацию (видеофиксацию) в отсутствии освещения (в режиме ночной съемки), то в зоне их видимости должно быть организовано необходимое для их работы освещение.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84"/>
        <w:ind w:firstLine="709"/>
        <w:jc w:val="both"/>
        <w:spacing w:line="276" w:lineRule="auto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1.6. Контроль за выполнением пункта 1.5 настоящего Порядка осуществляет </w:t>
      </w:r>
      <w:r>
        <w:rPr>
          <w:sz w:val="28"/>
          <w:szCs w:val="28"/>
        </w:rPr>
        <w:t xml:space="preserve">председатель соответствующей УИК.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84"/>
        <w:contextualSpacing/>
        <w:ind w:firstLine="708"/>
        <w:jc w:val="both"/>
        <w:spacing w:before="0" w:after="0" w:line="276" w:lineRule="auto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1.7. Размер (емкость) памяти используемого средства видеорегистрации (видеофиксации) должен быть достаточен для хранения видеоизображения в течение всего времени работы устройства в соответствии с пунктами 1.5  настоящего Порядка.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84"/>
        <w:contextualSpacing/>
        <w:ind w:firstLine="708"/>
        <w:jc w:val="both"/>
        <w:spacing w:before="0" w:after="0" w:line="276" w:lineRule="auto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течение времени работы устройства допускается периодический перенос информации на внешнее устройство хранения.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84"/>
        <w:contextualSpacing/>
        <w:ind w:firstLine="708"/>
        <w:jc w:val="both"/>
        <w:spacing w:before="0" w:after="0" w:line="276" w:lineRule="auto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</w:t>
      </w:r>
      <w:r>
        <w:rPr>
          <w:bCs/>
          <w:sz w:val="28"/>
          <w:szCs w:val="28"/>
        </w:rPr>
        <w:t xml:space="preserve">8. Средства видеорегистрации (видеофиксации) применяются с учетом положений статьи 152.1 Гражданского кодекса Российской Федерации, иных положений законодательства Российской Федерации, устанавливающих ограничения доступа к информации и ее распространению.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84"/>
        <w:contextualSpacing/>
        <w:ind w:firstLine="708"/>
        <w:jc w:val="both"/>
        <w:spacing w:before="0" w:after="0" w:line="276" w:lineRule="auto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1.9. При входе, а также внутри помещений, где применяются средства видеорегистрации (видеофиксации), на видном месте должны быть размещены одна либо несколько табличек формата А4 с надписью «В помещении ведется видеорегистрация (видеофиксация)».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84"/>
        <w:contextualSpacing/>
        <w:ind w:firstLine="708"/>
        <w:jc w:val="both"/>
        <w:spacing w:before="0" w:after="0" w:line="276" w:lineRule="auto"/>
        <w:widowControl w:val="off"/>
        <w:tabs>
          <w:tab w:val="left" w:pos="0" w:leader="none"/>
          <w:tab w:val="clear" w:pos="708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зоне видимости средства видеорегистрации (видеофиксации) размещаются таблички описыв</w:t>
      </w:r>
      <w:r>
        <w:rPr>
          <w:bCs/>
          <w:sz w:val="28"/>
          <w:szCs w:val="28"/>
        </w:rPr>
        <w:t xml:space="preserve">ающие действия членов участковой избирательной комиссии при осуществлении своей деятельности (например: «Перемещение бюллетеней в сейф-пакеты», «Ввод бюллетеней в КОИБ», «Запечатывание сейф-пакетов», «Перемещение запечатанных сейф-пакетов в сейф» и т. п.).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84"/>
        <w:jc w:val="center"/>
        <w:keepNext/>
        <w:spacing w:before="120" w:after="120" w:line="276" w:lineRule="auto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 Применение средств видеорегистрации (видеофиксации) в помещениях участковых избирательных комиссий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84"/>
        <w:contextualSpacing/>
        <w:ind w:firstLine="708"/>
        <w:jc w:val="both"/>
        <w:spacing w:before="0" w:after="0" w:line="276" w:lineRule="auto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2.1. Место размещения средства видеорегистрации (видеофиксации) и иного оборудования в помещении избирательной комиссии, определяет председатель соответствующей избирательной комиссии по согласованию</w:t>
      </w:r>
      <w:r>
        <w:rPr>
          <w:bCs/>
          <w:sz w:val="28"/>
          <w:szCs w:val="28"/>
        </w:rPr>
        <w:t xml:space="preserve"> с владельцем помещения и с учетом технической возможности. Камера видеорегистратора (видеофиксатора) должна располагаться таким образом, чтобы в зоне её видимости располагались все объекты видеорегистрации (видеофиксации), указанные в пунктах 1.5 Порядка.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84"/>
        <w:contextualSpacing/>
        <w:ind w:firstLine="708"/>
        <w:jc w:val="both"/>
        <w:spacing w:before="0" w:after="0" w:line="276" w:lineRule="auto"/>
        <w:widowControl w:val="off"/>
        <w:tabs>
          <w:tab w:val="clear" w:pos="708" w:leader="none"/>
          <w:tab w:val="left" w:pos="2694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2.2. После определения места размещения средства видеорегистрации (видеофиксации) соответст</w:t>
      </w:r>
      <w:r>
        <w:rPr>
          <w:bCs/>
          <w:sz w:val="28"/>
          <w:szCs w:val="28"/>
        </w:rPr>
        <w:t xml:space="preserve">вующая УИК составляет схему размещения средства видеорегистрации (видеофиксации), обозначая на ней зону видимости камеры видеорегистратора (видеофиксатора) и размещение технологического оборудования и иного оборудования для УИК (Приложение № 1 к Порядку). 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84"/>
        <w:contextualSpacing/>
        <w:ind w:firstLine="708"/>
        <w:jc w:val="both"/>
        <w:spacing w:before="0" w:after="0" w:line="276" w:lineRule="auto"/>
        <w:widowControl w:val="off"/>
        <w:tabs>
          <w:tab w:val="clear" w:pos="708" w:leader="none"/>
          <w:tab w:val="left" w:pos="2694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Указанная выше схема подписывается председателем соответствующей участковой избирательной комиссии и согласовывается с владельцем помещения, </w:t>
      </w:r>
      <w:r>
        <w:rPr>
          <w:bCs/>
          <w:sz w:val="28"/>
          <w:szCs w:val="28"/>
        </w:rPr>
        <w:t xml:space="preserve">оригинал указанного документа хранится в комиссии. Копия схемы размещения средства видеорегистрации (видеофиксации) в помещении участковой избирательной комиссии размещается в помещении для голосования и направляется в ТИК не позднее 17 сентября 2026 года.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84"/>
        <w:contextualSpacing/>
        <w:ind w:firstLine="708"/>
        <w:jc w:val="both"/>
        <w:spacing w:before="0" w:after="0" w:line="276" w:lineRule="auto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2.3. Работу со средствами видеорегистрации (видеофиксации) осуществляют не менее двух членов УИК с правом решающего голоса,  определенных решением УИК не позднее чем за четыре дня до дня установки средств видеорегистрации (видеофиксации). 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84"/>
        <w:contextualSpacing/>
        <w:ind w:firstLine="708"/>
        <w:jc w:val="both"/>
        <w:spacing w:before="0" w:after="0" w:line="276" w:lineRule="auto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Члены УИК, осуществляющие работу со средствами видеорегистрации (видеофиксации), руководствуются настоящим Порядком и Инструкцией по работе со средствами видеорегистрации (видеофиксации) (Приложение № 2 к Порядку).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84"/>
        <w:contextualSpacing/>
        <w:ind w:firstLine="708"/>
        <w:jc w:val="both"/>
        <w:spacing w:before="0" w:after="0" w:line="276" w:lineRule="auto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2.4. Члены УИК устанавливают средства видеорегистрации (видеофиксации), в том числе</w:t>
      </w:r>
      <w:r>
        <w:rPr>
          <w:bCs/>
          <w:sz w:val="28"/>
          <w:szCs w:val="28"/>
        </w:rPr>
        <w:t xml:space="preserve"> в соответствии с указанной в пункте 2.2 Порядка схемой размещения средств видеорегистрации (видеофиксации). При этом камера видеорегистратора (видеофиксатора) устанавливается на высоте, обеспечивающей отсутствие помех для видеорегистрации (видеофиксации).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84"/>
        <w:contextualSpacing/>
        <w:ind w:firstLine="708"/>
        <w:jc w:val="both"/>
        <w:spacing w:before="0" w:after="0" w:line="276" w:lineRule="auto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Члены УИК проводятся настройку средства видеорегистрации (видеофиксации) проверку работоспособности в соответствии с эксплуатационной документацией и требованиями Порядка.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84"/>
        <w:contextualSpacing/>
        <w:ind w:firstLine="708"/>
        <w:jc w:val="both"/>
        <w:spacing w:before="0" w:after="0" w:line="276" w:lineRule="auto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2.5. Не ранее 8.00 и не позднее 18.00 по местному времени 17 сентября 2026 года члены УИК, осуществляющие работу со средствами видеорегистрации (видеофиксации), проводят тренировку.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84"/>
        <w:contextualSpacing/>
        <w:ind w:firstLine="708"/>
        <w:jc w:val="both"/>
        <w:spacing w:before="0" w:after="0" w:line="276" w:lineRule="auto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ходе тренировки проверяется работоспособность средств видеорегистрации (видеофиксации), наличие электропитания; если оно отсутствует, то принимаются меры по его включению.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84"/>
        <w:contextualSpacing/>
        <w:ind w:firstLine="708"/>
        <w:jc w:val="both"/>
        <w:spacing w:before="0" w:after="0" w:line="276" w:lineRule="auto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Работоспособность и контроль функционирования средств </w:t>
      </w:r>
      <w:r>
        <w:rPr>
          <w:bCs/>
          <w:sz w:val="28"/>
          <w:szCs w:val="28"/>
        </w:rPr>
        <w:t xml:space="preserve">видеорегистрации (видеофиксации) проводятся членами УИК, осуществляющими работу со средствами видеорегистрации (видеофиксации), через программное средство воспроизведения записываемой видеоинформации, входящим в состав видеорегистратора, либо через средств</w:t>
      </w:r>
      <w:r>
        <w:rPr>
          <w:bCs/>
          <w:sz w:val="28"/>
          <w:szCs w:val="28"/>
        </w:rPr>
        <w:t xml:space="preserve">о воспроизведения записываемой видеоинформации (смартфон, ноутбук, системный блок с монитором, моноблок и т.п.), предоставляемое органами местного самоуправления участковой избирательной комиссии в рамках оказания содействия в соответствии  с пунктом 16 ст</w:t>
      </w:r>
      <w:r>
        <w:rPr>
          <w:bCs/>
          <w:sz w:val="28"/>
          <w:szCs w:val="28"/>
        </w:rPr>
        <w:t xml:space="preserve">атьи 20 Федерального закона «Об основных гарантиях избирательных прав и права на участие в референдуме граждан Российской Федерации». Председатель УИК осуществляет контроль за соблюдением установленных зон видимости камеры видеорегистора (видеофиксатора). 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84"/>
        <w:contextualSpacing/>
        <w:ind w:firstLine="708"/>
        <w:jc w:val="both"/>
        <w:spacing w:before="0" w:after="0" w:line="276" w:lineRule="auto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окончании тренировки средства видеорегистрации (видеофиксации) остаются включенными. 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84"/>
        <w:contextualSpacing/>
        <w:ind w:firstLine="708"/>
        <w:jc w:val="both"/>
        <w:spacing w:before="0" w:after="0" w:line="276" w:lineRule="auto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Категорически запрещается: 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32"/>
        <w:numPr>
          <w:ilvl w:val="0"/>
          <w:numId w:val="6"/>
        </w:numPr>
        <w:jc w:val="both"/>
        <w:spacing w:line="276" w:lineRule="auto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производить действия по выключению электропитания средств видеорегистрации (видеофиксации) до окончания избирательных действий в помещении для голосования; 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32"/>
        <w:numPr>
          <w:ilvl w:val="0"/>
          <w:numId w:val="6"/>
        </w:numPr>
        <w:jc w:val="both"/>
        <w:spacing w:line="276" w:lineRule="auto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перемещать камеру видеорегистратора (видеофиксатора), изменять фокусное расстояние камеры видеорегистратора (видеофиксатора);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32"/>
        <w:numPr>
          <w:ilvl w:val="0"/>
          <w:numId w:val="6"/>
        </w:numPr>
        <w:jc w:val="both"/>
        <w:spacing w:line="276" w:lineRule="auto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перемещать из зоны видимости камеры видеорегистратора (видеофиксатора) оборудование, за исключением случаев, когда членами УИК, осуществляющими работу со средствами видеорегистрации (видеофиксаци</w:t>
      </w:r>
      <w:r>
        <w:rPr>
          <w:bCs/>
          <w:sz w:val="28"/>
          <w:szCs w:val="28"/>
        </w:rPr>
        <w:t xml:space="preserve">и), при контроле через средство воспроизведения записываемой видеоинформации обнаружено, что в зонах видимости камеры видеорегистратора (видеофиксатора) не находится хотя бы один из объектов видеорегистрации (видеофиксации), указанных в пункте 1.5 Порядка;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32"/>
        <w:numPr>
          <w:ilvl w:val="0"/>
          <w:numId w:val="6"/>
        </w:numPr>
        <w:jc w:val="both"/>
        <w:spacing w:line="276" w:lineRule="auto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производить действия, нарушающие функционирование средств видеорегистрации (видеофиксации), вмешиваться в процесс хранения записываемой информации.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84"/>
        <w:contextualSpacing/>
        <w:ind w:firstLine="708"/>
        <w:jc w:val="both"/>
        <w:spacing w:before="0" w:after="0" w:line="276" w:lineRule="auto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2.6. В дни голосования при наступлении времени голосования председатель УИК сообщает присутствующим о том, что в помещении для голосования ведется видеорегистрация (видеофиксация).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84"/>
        <w:contextualSpacing/>
        <w:ind w:firstLine="708"/>
        <w:jc w:val="both"/>
        <w:spacing w:before="0" w:after="0" w:line="276" w:lineRule="auto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2.7. После окончания голосования 18, 19 сентября 2026 года средство видеорегистрации (видеофиксации) необходимо переместить и направить на сейфы, в которых будут храниться бюллетени и иная выборная документация.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84"/>
        <w:contextualSpacing/>
        <w:ind w:firstLine="708"/>
        <w:jc w:val="both"/>
        <w:spacing w:before="0" w:after="0" w:line="276" w:lineRule="auto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2.8.  После окончания всех избирательных действий в помещении УИК председатель соответствующей УИК поручает членами УИК, осуществляющими работу со средствами видеорегистрации (видеофиксации), отключить средства видеорегистрации (видеофиксации).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84"/>
        <w:contextualSpacing/>
        <w:ind w:firstLine="708"/>
        <w:jc w:val="both"/>
        <w:spacing w:before="0" w:after="0" w:line="276" w:lineRule="auto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2.9. Обо всех случаях включения/выключения электропитания </w:t>
      </w:r>
      <w:r>
        <w:rPr>
          <w:bCs/>
          <w:sz w:val="28"/>
          <w:szCs w:val="28"/>
        </w:rPr>
        <w:t xml:space="preserve">средств видеорегистрации (видеофиксации) и неполадках в работе средств видеорегистрации (видеофиксации) делается соответствующая запись в ведомости применения средств видеорегистрации (видеофиксации) в помещении для голосования (Приложение № 3 к Порядку). 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84"/>
        <w:jc w:val="center"/>
        <w:keepNext/>
        <w:spacing w:before="120" w:after="120" w:line="276" w:lineRule="auto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 Сроки хранения видеозаписей, полученных в ходе видеонаблюдения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84"/>
        <w:ind w:firstLine="851"/>
        <w:jc w:val="both"/>
        <w:spacing w:line="276" w:lineRule="auto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3.1. Видеоизображения, полученны</w:t>
      </w:r>
      <w:r>
        <w:rPr>
          <w:bCs/>
          <w:sz w:val="28"/>
          <w:szCs w:val="28"/>
        </w:rPr>
        <w:t xml:space="preserve">е с использованием средств видеорегистрации (видеофиксации), хранятся в территориальных избирательных комиссиях Пензенской области в течение трех месяцев со дня официального опубликования результатов выборов в единый день голосования 20 сентября 2026 года.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84"/>
        <w:ind w:firstLine="851"/>
        <w:jc w:val="both"/>
        <w:spacing w:line="276" w:lineRule="auto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случае рассмотрения в суде жалобы (заявления) на решение избирательной комиссии об итогах голосования или возбуждения </w:t>
      </w:r>
      <w:r>
        <w:rPr>
          <w:bCs/>
          <w:sz w:val="28"/>
          <w:szCs w:val="28"/>
        </w:rPr>
        <w:t xml:space="preserve">уголовного дела, связанного с нарушением избирательных прав граждан Российской Федерации, сроки хранения соответствующих видеоизображений продлеваются до вступления в законную силу решения суда либо до прекращения уголовного дела в соответствии с законом. 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84"/>
        <w:ind w:firstLine="851"/>
        <w:jc w:val="both"/>
        <w:spacing w:line="276" w:lineRule="auto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3.2. По истечении срока хранения видеоизображения, получ</w:t>
      </w:r>
      <w:r>
        <w:rPr>
          <w:bCs/>
          <w:sz w:val="28"/>
          <w:szCs w:val="28"/>
        </w:rPr>
        <w:t xml:space="preserve">енные с использованием средств видеорегистрации (видеофиксации), подлежат уничтожению. О чем составляется соответствующий акт, который подписывается председателем ТИК и специалистом Информационного центра аппарата Избирательной комиссии Пензенской области.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84"/>
        <w:jc w:val="center"/>
        <w:spacing w:before="120" w:after="120" w:line="276" w:lineRule="auto"/>
        <w:shd w:val="clear" w:color="auto" w:fill="ffffff"/>
        <w:widowControl w:val="off"/>
        <w:tabs>
          <w:tab w:val="left" w:pos="698" w:leader="none"/>
          <w:tab w:val="clear" w:pos="708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 Порядок организации доступа к видеозаписям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84"/>
        <w:ind w:firstLine="851"/>
        <w:jc w:val="both"/>
        <w:spacing w:line="276" w:lineRule="auto"/>
        <w:widowControl w:val="off"/>
        <w:rPr>
          <w:sz w:val="28"/>
          <w:szCs w:val="28"/>
          <w14:ligatures w14:val="none"/>
        </w:rPr>
        <w:suppressLineNumbers w:val="0"/>
      </w:pPr>
      <w:r>
        <w:rPr>
          <w:sz w:val="28"/>
          <w:szCs w:val="28"/>
        </w:rPr>
        <w:t xml:space="preserve">4.1. Видеоизображения, полученные с использованием средств видеорегистрации (видеофиксации), и</w:t>
      </w:r>
      <w:r>
        <w:rPr>
          <w:sz w:val="28"/>
          <w:szCs w:val="28"/>
        </w:rPr>
        <w:t xml:space="preserve">спользуются избирательными комиссиями при рассмотрении жалоб, поступивших в день (дни) голосования, с учетом пункта 10 статьи 75 Федерального закона </w:t>
        <w:br/>
        <w:t xml:space="preserve">«Об основных гарантиях избирательных прав и права на участие </w:t>
        <w:br/>
        <w:t xml:space="preserve">в референдуме граждан Российской Федерации».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684"/>
        <w:ind w:firstLine="851"/>
        <w:jc w:val="both"/>
        <w:spacing w:line="276" w:lineRule="auto"/>
        <w:widowControl w:val="off"/>
        <w:rPr>
          <w:sz w:val="28"/>
          <w:szCs w:val="28"/>
          <w:highlight w:val="none"/>
        </w:rPr>
      </w:pPr>
      <w:r>
        <w:rPr>
          <w:bCs/>
          <w:sz w:val="28"/>
          <w:szCs w:val="28"/>
        </w:rPr>
        <w:t xml:space="preserve">4.2. Видеоизображения, полученные с использованием средств видеорегистрации (видеофиксации), предоставляются по запросу суда, рассматривающего соответствующее уголовное дело, дело об административном правонарушении, а такж</w:t>
      </w:r>
      <w:r>
        <w:rPr>
          <w:bCs/>
          <w:sz w:val="28"/>
          <w:szCs w:val="28"/>
        </w:rPr>
        <w:t xml:space="preserve">е по запросу прокурора, следователя, иного должностного лица, осуществляющего свою деятельность в связи с решением вопроса о возбуждении дела об административном правонарушении, о возбуждении уголовного дела и (или) проведением расследования указанных дел.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84"/>
        <w:ind w:firstLine="851"/>
        <w:jc w:val="both"/>
        <w:spacing w:line="276" w:lineRule="auto"/>
        <w:widowControl w:val="off"/>
        <w:rPr>
          <w:bCs/>
          <w:sz w:val="28"/>
          <w:szCs w:val="28"/>
        </w:rPr>
        <w:sectPr>
          <w:footnotePr/>
          <w:endnotePr/>
          <w:type w:val="nextPage"/>
          <w:pgSz w:w="11906" w:h="16838" w:orient="portrait"/>
          <w:pgMar w:top="851" w:right="849" w:bottom="993" w:left="1701" w:header="709" w:footer="709" w:gutter="0"/>
          <w:pgNumType w:start="1"/>
          <w:cols w:num="1" w:sep="0" w:space="1701" w:equalWidth="1"/>
          <w:docGrid w:linePitch="360"/>
        </w:sectPr>
      </w:pPr>
      <w:r>
        <w:rPr>
          <w:bCs/>
          <w:sz w:val="28"/>
          <w:szCs w:val="28"/>
        </w:rPr>
        <w:t xml:space="preserve">4.3. Видеоизображения, полученные с использованием средств видеорегистрации (видеофиксации), могут быть предоставлены избирательными комиссиями для использования в работе общественных штабов (центров) по наблюдению за выборами.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tbl>
      <w:tblPr>
        <w:tblW w:w="9571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227"/>
        <w:gridCol w:w="6343"/>
      </w:tblGrid>
      <w:tr>
        <w:tblPrEx/>
        <w:trPr/>
        <w:tc>
          <w:tcPr>
            <w:tcW w:w="3227" w:type="dxa"/>
            <w:textDirection w:val="lrTb"/>
            <w:noWrap w:val="false"/>
          </w:tcPr>
          <w:p>
            <w:pPr>
              <w:pStyle w:val="684"/>
              <w:contextualSpacing/>
              <w:jc w:val="both"/>
              <w:spacing w:before="0" w:after="0" w:line="276" w:lineRule="auto"/>
              <w:widowControl w:val="off"/>
              <w:tabs>
                <w:tab w:val="left" w:pos="698" w:leader="none"/>
                <w:tab w:val="clear" w:pos="708" w:leader="none"/>
              </w:tabs>
              <w:rPr>
                <w:rFonts w:cs="TimesNewRomanPSMT"/>
              </w:rPr>
            </w:pPr>
            <w:r>
              <w:rPr>
                <w:rFonts w:cs="TimesNewRomanPSMT"/>
              </w:rPr>
            </w:r>
            <w:r>
              <w:rPr>
                <w:rFonts w:cs="TimesNewRomanPSMT"/>
              </w:rPr>
            </w:r>
            <w:r>
              <w:rPr>
                <w:rFonts w:cs="TimesNewRomanPSMT"/>
              </w:rPr>
            </w:r>
          </w:p>
        </w:tc>
        <w:tc>
          <w:tcPr>
            <w:tcW w:w="6343" w:type="dxa"/>
            <w:textDirection w:val="lrTb"/>
            <w:noWrap w:val="false"/>
          </w:tcPr>
          <w:p>
            <w:pPr>
              <w:pStyle w:val="684"/>
              <w:contextualSpacing/>
              <w:jc w:val="center"/>
              <w:spacing w:before="0" w:after="0" w:line="276" w:lineRule="auto"/>
              <w:widowControl w:val="off"/>
              <w:rPr>
                <w:rFonts w:cs="TimesNewRomanPSMT"/>
              </w:rPr>
            </w:pPr>
            <w:r>
              <w:rPr>
                <w:rFonts w:cs="TimesNewRomanPSMT"/>
              </w:rPr>
              <w:t xml:space="preserve">Приложение № 1</w:t>
            </w:r>
            <w:r>
              <w:rPr>
                <w:rFonts w:cs="TimesNewRomanPSMT"/>
              </w:rPr>
            </w:r>
            <w:r>
              <w:rPr>
                <w:rFonts w:cs="TimesNewRomanPSMT"/>
              </w:rPr>
            </w:r>
          </w:p>
          <w:p>
            <w:pPr>
              <w:pStyle w:val="684"/>
              <w:contextualSpacing/>
              <w:jc w:val="center"/>
              <w:spacing w:before="0" w:after="0"/>
              <w:widowControl w:val="off"/>
              <w:tabs>
                <w:tab w:val="left" w:pos="0" w:leader="none"/>
                <w:tab w:val="clear" w:pos="708" w:leader="none"/>
              </w:tabs>
            </w:pPr>
            <w:r>
              <w:rPr>
                <w:rFonts w:cs="TimesNewRomanPSMT"/>
              </w:rPr>
              <w:t xml:space="preserve">к Порядку</w:t>
            </w:r>
            <w:r>
              <w:t xml:space="preserve"> применения средств видеорегистрации (видеофиксации) при проведении выборов в единый день голосования </w:t>
            </w:r>
            <w:r>
              <w:br/>
            </w:r>
            <w:r>
              <w:t xml:space="preserve">20 сентября 2026 года</w:t>
            </w:r>
            <w:r/>
            <w:r/>
          </w:p>
        </w:tc>
      </w:tr>
    </w:tbl>
    <w:p>
      <w:pPr>
        <w:pStyle w:val="684"/>
        <w:contextualSpacing/>
        <w:ind w:firstLine="720"/>
        <w:jc w:val="center"/>
        <w:spacing w:before="0" w:after="0" w:line="276" w:lineRule="auto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84"/>
        <w:contextualSpacing/>
        <w:jc w:val="center"/>
        <w:spacing w:before="0" w:after="0" w:line="276" w:lineRule="auto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СХЕМА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84"/>
        <w:contextualSpacing/>
        <w:jc w:val="center"/>
        <w:spacing w:before="0" w:after="0" w:line="276" w:lineRule="auto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размещения средства видеорегистрации (видеофиксации)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84"/>
        <w:contextualSpacing/>
        <w:jc w:val="center"/>
        <w:spacing w:before="0" w:after="0" w:line="276" w:lineRule="auto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помещении избирательной комиссии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84"/>
        <w:contextualSpacing/>
        <w:jc w:val="center"/>
        <w:spacing w:before="0" w:after="0" w:line="276" w:lineRule="auto"/>
        <w:widowControl w:val="off"/>
        <w:rPr>
          <w:sz w:val="28"/>
          <w:szCs w:val="28"/>
          <w:highlight w:val="none"/>
        </w:rPr>
      </w:pPr>
      <w:r>
        <w:rPr>
          <w:sz w:val="28"/>
          <w:szCs w:val="28"/>
        </w:rPr>
      </w:r>
      <w:bookmarkStart w:id="0" w:name="undefined"/>
      <w:r/>
      <w:bookmarkEnd w:id="0"/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84"/>
        <w:contextualSpacing/>
        <w:jc w:val="center"/>
        <w:spacing w:before="0" w:after="0" w:line="276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28575" distB="28575" distL="29210" distR="27940" simplePos="0" relativeHeight="2" behindDoc="0" locked="0" layoutInCell="1" allowOverlap="1">
                <wp:simplePos x="0" y="0"/>
                <wp:positionH relativeFrom="column">
                  <wp:posOffset>1054735</wp:posOffset>
                </wp:positionH>
                <wp:positionV relativeFrom="paragraph">
                  <wp:posOffset>66675</wp:posOffset>
                </wp:positionV>
                <wp:extent cx="4600575" cy="3600450"/>
                <wp:effectExtent l="29209" t="28575" r="27940" b="28575"/>
                <wp:wrapNone/>
                <wp:docPr id="1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600440" cy="360036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80808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2;o:allowoverlap:true;o:allowincell:true;mso-position-horizontal-relative:text;margin-left:83.05pt;mso-position-horizontal:absolute;mso-position-vertical-relative:text;margin-top:5.25pt;mso-position-vertical:absolute;width:362.25pt;height:283.50pt;mso-wrap-distance-left:2.30pt;mso-wrap-distance-top:2.25pt;mso-wrap-distance-right:2.20pt;mso-wrap-distance-bottom:2.25pt;visibility:visible;" filled="f" strokecolor="#808080" strokeweight="4.50pt">
                <v:stroke dashstyle="solid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4"/>
        <w:contextualSpacing/>
        <w:jc w:val="center"/>
        <w:spacing w:before="0" w:after="0" w:line="276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10160" distB="8890" distL="9525" distR="9525" simplePos="0" relativeHeight="8" behindDoc="0" locked="0" layoutInCell="1" allowOverlap="1">
                <wp:simplePos x="0" y="0"/>
                <wp:positionH relativeFrom="column">
                  <wp:posOffset>4626610</wp:posOffset>
                </wp:positionH>
                <wp:positionV relativeFrom="paragraph">
                  <wp:posOffset>79375</wp:posOffset>
                </wp:positionV>
                <wp:extent cx="876300" cy="638175"/>
                <wp:effectExtent l="9525" t="10160" r="9525" b="8890"/>
                <wp:wrapNone/>
                <wp:docPr id="2" name="Фигура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76240" cy="638280"/>
                        </a:xfrm>
                        <a:prstGeom prst="rect">
                          <a:avLst/>
                        </a:prstGeom>
                        <a:noFill/>
                        <a:ln w="19049">
                          <a:solidFill>
                            <a:srgbClr val="80808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1" type="#_x0000_t1" style="position:absolute;z-index:8;o:allowoverlap:true;o:allowincell:true;mso-position-horizontal-relative:text;margin-left:364.30pt;mso-position-horizontal:absolute;mso-position-vertical-relative:text;margin-top:6.25pt;mso-position-vertical:absolute;width:69.00pt;height:50.25pt;mso-wrap-distance-left:0.75pt;mso-wrap-distance-top:0.80pt;mso-wrap-distance-right:0.75pt;mso-wrap-distance-bottom:0.70pt;visibility:visible;" filled="f" strokecolor="#808080" strokeweight="1.50pt">
                <v:stroke dashstyle="solid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6350" distB="6350" distL="6350" distR="6350" simplePos="0" relativeHeight="9" behindDoc="0" locked="0" layoutInCell="1" allowOverlap="1">
                <wp:simplePos x="0" y="0"/>
                <wp:positionH relativeFrom="column">
                  <wp:posOffset>1230630</wp:posOffset>
                </wp:positionH>
                <wp:positionV relativeFrom="paragraph">
                  <wp:posOffset>79375</wp:posOffset>
                </wp:positionV>
                <wp:extent cx="495300" cy="571500"/>
                <wp:effectExtent l="6350" t="6350" r="6350" b="6350"/>
                <wp:wrapNone/>
                <wp:docPr id="3" name="Фигура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95360" cy="5716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4901"/>
                          </a:schemeClr>
                        </a:solidFill>
                        <a:ln w="12699">
                          <a:solidFill>
                            <a:srgbClr val="80808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o:spt="1" type="#_x0000_t1" style="position:absolute;z-index:9;o:allowoverlap:true;o:allowincell:true;mso-position-horizontal-relative:text;margin-left:96.90pt;mso-position-horizontal:absolute;mso-position-vertical-relative:text;margin-top:6.25pt;mso-position-vertical:absolute;width:39.00pt;height:45.00pt;mso-wrap-distance-left:0.50pt;mso-wrap-distance-top:0.50pt;mso-wrap-distance-right:0.50pt;mso-wrap-distance-bottom:0.50pt;visibility:visible;" fillcolor="#BEBEBE" strokecolor="#808080" strokeweight="1.00pt">
                <v:stroke dashstyle="solid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6350" distB="6350" distL="6985" distR="5715" simplePos="0" relativeHeight="10" behindDoc="0" locked="0" layoutInCell="1" allowOverlap="1">
                <wp:simplePos x="0" y="0"/>
                <wp:positionH relativeFrom="column">
                  <wp:posOffset>2016125</wp:posOffset>
                </wp:positionH>
                <wp:positionV relativeFrom="paragraph">
                  <wp:posOffset>79375</wp:posOffset>
                </wp:positionV>
                <wp:extent cx="1095375" cy="571500"/>
                <wp:effectExtent l="6985" t="6350" r="5715" b="6350"/>
                <wp:wrapNone/>
                <wp:docPr id="4" name="Фигура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095480" cy="5716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4901"/>
                          </a:schemeClr>
                        </a:solidFill>
                        <a:ln w="12699">
                          <a:solidFill>
                            <a:srgbClr val="80808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1" type="#_x0000_t1" style="position:absolute;z-index:10;o:allowoverlap:true;o:allowincell:true;mso-position-horizontal-relative:text;margin-left:158.75pt;mso-position-horizontal:absolute;mso-position-vertical-relative:text;margin-top:6.25pt;mso-position-vertical:absolute;width:86.25pt;height:45.00pt;mso-wrap-distance-left:0.55pt;mso-wrap-distance-top:0.50pt;mso-wrap-distance-right:0.45pt;mso-wrap-distance-bottom:0.50pt;visibility:visible;" fillcolor="#BEBEBE" strokecolor="#808080" strokeweight="1.00pt">
                <v:stroke dashstyle="solid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6985" distB="5715" distL="6350" distR="6350" simplePos="0" relativeHeight="11" behindDoc="0" locked="0" layoutInCell="1" allowOverlap="1">
                <wp:simplePos x="0" y="0"/>
                <wp:positionH relativeFrom="column">
                  <wp:posOffset>3383280</wp:posOffset>
                </wp:positionH>
                <wp:positionV relativeFrom="paragraph">
                  <wp:posOffset>79375</wp:posOffset>
                </wp:positionV>
                <wp:extent cx="386080" cy="428625"/>
                <wp:effectExtent l="6350" t="6985" r="6350" b="5715"/>
                <wp:wrapNone/>
                <wp:docPr id="5" name="Фигура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85920" cy="4287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4901"/>
                          </a:schemeClr>
                        </a:solidFill>
                        <a:ln w="12699">
                          <a:solidFill>
                            <a:srgbClr val="80808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1" type="#_x0000_t1" style="position:absolute;z-index:11;o:allowoverlap:true;o:allowincell:true;mso-position-horizontal-relative:text;margin-left:266.40pt;mso-position-horizontal:absolute;mso-position-vertical-relative:text;margin-top:6.25pt;mso-position-vertical:absolute;width:30.40pt;height:33.75pt;mso-wrap-distance-left:0.50pt;mso-wrap-distance-top:0.55pt;mso-wrap-distance-right:0.50pt;mso-wrap-distance-bottom:0.45pt;visibility:visible;" fillcolor="#BEBEBE" strokecolor="#808080" strokeweight="1.00pt">
                <v:stroke dashstyle="solid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6985" distB="5715" distL="6350" distR="6350" simplePos="0" relativeHeight="12" behindDoc="0" locked="0" layoutInCell="1" allowOverlap="1">
                <wp:simplePos x="0" y="0"/>
                <wp:positionH relativeFrom="column">
                  <wp:posOffset>3840480</wp:posOffset>
                </wp:positionH>
                <wp:positionV relativeFrom="paragraph">
                  <wp:posOffset>79375</wp:posOffset>
                </wp:positionV>
                <wp:extent cx="386080" cy="428625"/>
                <wp:effectExtent l="6350" t="6985" r="6350" b="5715"/>
                <wp:wrapNone/>
                <wp:docPr id="6" name="Фигура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85920" cy="4287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4901"/>
                          </a:schemeClr>
                        </a:solidFill>
                        <a:ln w="12699">
                          <a:solidFill>
                            <a:srgbClr val="80808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" o:spid="_x0000_s5" o:spt="1" type="#_x0000_t1" style="position:absolute;z-index:12;o:allowoverlap:true;o:allowincell:true;mso-position-horizontal-relative:text;margin-left:302.40pt;mso-position-horizontal:absolute;mso-position-vertical-relative:text;margin-top:6.25pt;mso-position-vertical:absolute;width:30.40pt;height:33.75pt;mso-wrap-distance-left:0.50pt;mso-wrap-distance-top:0.55pt;mso-wrap-distance-right:0.50pt;mso-wrap-distance-bottom:0.45pt;visibility:visible;" fillcolor="#BEBEBE" strokecolor="#808080" strokeweight="1.00pt">
                <v:stroke dashstyle="solid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635" distL="114300" distR="115570" simplePos="0" relativeHeight="16" behindDoc="0" locked="0" layoutInCell="1" allowOverlap="1">
                <wp:simplePos x="0" y="0"/>
                <wp:positionH relativeFrom="column">
                  <wp:posOffset>1470660</wp:posOffset>
                </wp:positionH>
                <wp:positionV relativeFrom="paragraph">
                  <wp:posOffset>168275</wp:posOffset>
                </wp:positionV>
                <wp:extent cx="196850" cy="196850"/>
                <wp:effectExtent l="3175" t="3810" r="3810" b="3810"/>
                <wp:wrapThrough wrapText="bothSides">
                  <wp:wrapPolygon edited="1">
                    <wp:start x="5859" y="0"/>
                    <wp:lineTo x="21665" y="0"/>
                    <wp:lineTo x="19758" y="5137"/>
                    <wp:lineTo x="29502" y="13762"/>
                    <wp:lineTo x="13762" y="21599"/>
                    <wp:lineTo x="7836" y="21599"/>
                    <wp:lineTo x="3178" y="18421"/>
                    <wp:lineTo x="13697" y="13762"/>
                    <wp:lineTo x="1218" y="5137"/>
                  </wp:wrapPolygon>
                </wp:wrapThrough>
                <wp:docPr id="7" name="Фигура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96920" cy="1969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6349">
                          <a:solidFill>
                            <a:srgbClr val="0D0D0D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" o:spid="_x0000_s6" o:spt="3" type="#_x0000_t3" style="position:absolute;z-index:16;o:allowoverlap:true;o:allowincell:true;mso-position-horizontal-relative:text;margin-left:115.80pt;mso-position-horizontal:absolute;mso-position-vertical-relative:text;margin-top:13.25pt;mso-position-vertical:absolute;width:15.50pt;height:15.50pt;mso-wrap-distance-left:9.00pt;mso-wrap-distance-top:0.00pt;mso-wrap-distance-right:9.10pt;mso-wrap-distance-bottom:0.05pt;visibility:visible;" wrapcoords="27125 0 100301 0 91472 23782 136583 63713 63713 99995 36278 99995 14713 85282 63412 63713 5639 23782" fillcolor="#FFFFFF" strokecolor="#0D0D0D" strokeweight="0.50pt">
                <v:stroke dashstyle="solid"/>
                <w10:wrap type="through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635" distB="0" distL="114935" distR="114935" simplePos="0" relativeHeight="17" behindDoc="0" locked="0" layoutInCell="1" allowOverlap="1">
                <wp:simplePos x="0" y="0"/>
                <wp:positionH relativeFrom="column">
                  <wp:posOffset>1443355</wp:posOffset>
                </wp:positionH>
                <wp:positionV relativeFrom="paragraph">
                  <wp:posOffset>132715</wp:posOffset>
                </wp:positionV>
                <wp:extent cx="275590" cy="255905"/>
                <wp:effectExtent l="0" t="635" r="0" b="0"/>
                <wp:wrapThrough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hrough>
                <wp:docPr id="8" name="Фигур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75760" cy="255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1_1749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3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" o:spid="_x0000_s7" o:spt="1" type="#_x0000_t1" style="position:absolute;z-index:17;o:allowoverlap:true;o:allowincell:true;mso-position-horizontal-relative:text;margin-left:113.65pt;mso-position-horizontal:absolute;mso-position-vertical-relative:text;margin-top:10.45pt;mso-position-vertical:absolute;width:21.70pt;height:20.15pt;mso-wrap-distance-left:9.05pt;mso-wrap-distance-top:0.05pt;mso-wrap-distance-right:9.05pt;mso-wrap-distance-bottom:0.00pt;v-text-anchor:top;visibility:visible;" wrapcoords="0 0 100000 0 100000 100000 0 100000" filled="f" stroked="f" strokeweight="0.50pt">
                <w10:wrap type="through"/>
                <v:textbox inset="0,0,0,0">
                  <w:txbxContent>
                    <w:p>
                      <w:pPr>
                        <w:pStyle w:val="1_1749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3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</w:r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635" distL="115570" distR="114935" simplePos="0" relativeHeight="20" behindDoc="0" locked="0" layoutInCell="1" allowOverlap="1">
                <wp:simplePos x="0" y="0"/>
                <wp:positionH relativeFrom="column">
                  <wp:posOffset>3710305</wp:posOffset>
                </wp:positionH>
                <wp:positionV relativeFrom="paragraph">
                  <wp:posOffset>201295</wp:posOffset>
                </wp:positionV>
                <wp:extent cx="196850" cy="196850"/>
                <wp:effectExtent l="3175" t="3810" r="3810" b="3810"/>
                <wp:wrapThrough wrapText="bothSides">
                  <wp:wrapPolygon edited="1">
                    <wp:start x="5859" y="0"/>
                    <wp:lineTo x="21665" y="0"/>
                    <wp:lineTo x="19758" y="5137"/>
                    <wp:lineTo x="29502" y="13762"/>
                    <wp:lineTo x="13762" y="21599"/>
                    <wp:lineTo x="7836" y="21599"/>
                    <wp:lineTo x="3178" y="18421"/>
                    <wp:lineTo x="13697" y="13762"/>
                    <wp:lineTo x="1218" y="5137"/>
                  </wp:wrapPolygon>
                </wp:wrapThrough>
                <wp:docPr id="9" name="Фигура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96920" cy="1969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6349">
                          <a:solidFill>
                            <a:srgbClr val="0D0D0D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" o:spid="_x0000_s8" o:spt="3" type="#_x0000_t3" style="position:absolute;z-index:20;o:allowoverlap:true;o:allowincell:true;mso-position-horizontal-relative:text;margin-left:292.15pt;mso-position-horizontal:absolute;mso-position-vertical-relative:text;margin-top:15.85pt;mso-position-vertical:absolute;width:15.50pt;height:15.50pt;mso-wrap-distance-left:9.10pt;mso-wrap-distance-top:0.00pt;mso-wrap-distance-right:9.05pt;mso-wrap-distance-bottom:0.05pt;visibility:visible;" wrapcoords="27125 0 100301 0 91472 23782 136583 63713 63713 99995 36278 99995 14713 85282 63412 63713 5639 23782" fillcolor="#FFFFFF" strokecolor="#0D0D0D" strokeweight="0.50pt">
                <v:stroke dashstyle="solid"/>
                <w10:wrap type="through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635" distL="115570" distR="114935" simplePos="0" relativeHeight="21" behindDoc="0" locked="0" layoutInCell="1" allowOverlap="1">
                <wp:simplePos x="0" y="0"/>
                <wp:positionH relativeFrom="column">
                  <wp:posOffset>2863215</wp:posOffset>
                </wp:positionH>
                <wp:positionV relativeFrom="paragraph">
                  <wp:posOffset>201295</wp:posOffset>
                </wp:positionV>
                <wp:extent cx="196850" cy="196850"/>
                <wp:effectExtent l="3175" t="3810" r="3810" b="3810"/>
                <wp:wrapThrough wrapText="bothSides">
                  <wp:wrapPolygon edited="1">
                    <wp:start x="5859" y="0"/>
                    <wp:lineTo x="21665" y="0"/>
                    <wp:lineTo x="19758" y="5137"/>
                    <wp:lineTo x="29502" y="13762"/>
                    <wp:lineTo x="13762" y="21599"/>
                    <wp:lineTo x="7836" y="21599"/>
                    <wp:lineTo x="3178" y="18421"/>
                    <wp:lineTo x="13697" y="13762"/>
                    <wp:lineTo x="1218" y="5137"/>
                  </wp:wrapPolygon>
                </wp:wrapThrough>
                <wp:docPr id="10" name="Фигура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96920" cy="1969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6349">
                          <a:solidFill>
                            <a:srgbClr val="0D0D0D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9" o:spid="_x0000_s9" o:spt="3" type="#_x0000_t3" style="position:absolute;z-index:21;o:allowoverlap:true;o:allowincell:true;mso-position-horizontal-relative:text;margin-left:225.45pt;mso-position-horizontal:absolute;mso-position-vertical-relative:text;margin-top:15.85pt;mso-position-vertical:absolute;width:15.50pt;height:15.50pt;mso-wrap-distance-left:9.10pt;mso-wrap-distance-top:0.00pt;mso-wrap-distance-right:9.05pt;mso-wrap-distance-bottom:0.05pt;visibility:visible;" wrapcoords="27125 0 100301 0 91472 23782 136583 63713 63713 99995 36278 99995 14713 85282 63412 63713 5639 23782" fillcolor="#FFFFFF" strokecolor="#0D0D0D" strokeweight="0.50pt">
                <v:stroke dashstyle="solid"/>
                <w10:wrap type="through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635" distB="0" distL="114935" distR="114300" simplePos="0" relativeHeight="22" behindDoc="0" locked="0" layoutInCell="1" allowOverlap="1">
                <wp:simplePos x="0" y="0"/>
                <wp:positionH relativeFrom="column">
                  <wp:posOffset>2835910</wp:posOffset>
                </wp:positionH>
                <wp:positionV relativeFrom="paragraph">
                  <wp:posOffset>173990</wp:posOffset>
                </wp:positionV>
                <wp:extent cx="275590" cy="255905"/>
                <wp:effectExtent l="0" t="635" r="0" b="0"/>
                <wp:wrapThrough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hrough>
                <wp:docPr id="11" name="Фигура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75760" cy="255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1_1749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2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" o:spid="_x0000_s10" o:spt="1" type="#_x0000_t1" style="position:absolute;z-index:22;o:allowoverlap:true;o:allowincell:true;mso-position-horizontal-relative:text;margin-left:223.30pt;mso-position-horizontal:absolute;mso-position-vertical-relative:text;margin-top:13.70pt;mso-position-vertical:absolute;width:21.70pt;height:20.15pt;mso-wrap-distance-left:9.05pt;mso-wrap-distance-top:0.05pt;mso-wrap-distance-right:9.00pt;mso-wrap-distance-bottom:0.00pt;v-text-anchor:top;visibility:visible;" wrapcoords="0 0 100000 0 100000 100000 0 100000" filled="f" stroked="f" strokeweight="0.50pt">
                <w10:wrap type="through"/>
                <v:textbox inset="0,0,0,0">
                  <w:txbxContent>
                    <w:p>
                      <w:pPr>
                        <w:pStyle w:val="1_1749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2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</w:r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635" distB="0" distL="115570" distR="114935" simplePos="0" relativeHeight="24" behindDoc="0" locked="0" layoutInCell="1" allowOverlap="1">
                <wp:simplePos x="0" y="0"/>
                <wp:positionH relativeFrom="column">
                  <wp:posOffset>3663315</wp:posOffset>
                </wp:positionH>
                <wp:positionV relativeFrom="paragraph">
                  <wp:posOffset>173990</wp:posOffset>
                </wp:positionV>
                <wp:extent cx="275590" cy="255905"/>
                <wp:effectExtent l="0" t="635" r="0" b="0"/>
                <wp:wrapThrough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hrough>
                <wp:docPr id="12" name="Фигура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75760" cy="255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1_1749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4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1" o:spid="_x0000_s11" o:spt="1" type="#_x0000_t1" style="position:absolute;z-index:24;o:allowoverlap:true;o:allowincell:true;mso-position-horizontal-relative:text;margin-left:288.45pt;mso-position-horizontal:absolute;mso-position-vertical-relative:text;margin-top:13.70pt;mso-position-vertical:absolute;width:21.70pt;height:20.15pt;mso-wrap-distance-left:9.10pt;mso-wrap-distance-top:0.05pt;mso-wrap-distance-right:9.05pt;mso-wrap-distance-bottom:0.00pt;v-text-anchor:top;visibility:visible;" wrapcoords="0 0 100000 0 100000 100000 0 100000" filled="f" stroked="f" strokeweight="0.50pt">
                <w10:wrap type="through"/>
                <v:textbox inset="0,0,0,0">
                  <w:txbxContent>
                    <w:p>
                      <w:pPr>
                        <w:pStyle w:val="1_1749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4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4"/>
        <w:contextualSpacing/>
        <w:jc w:val="center"/>
        <w:spacing w:before="0" w:after="0" w:line="276" w:lineRule="auto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4"/>
        <w:contextualSpacing/>
        <w:jc w:val="center"/>
        <w:spacing w:before="0" w:after="0" w:line="276" w:lineRule="auto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4"/>
        <w:contextualSpacing/>
        <w:jc w:val="center"/>
        <w:spacing w:before="0" w:after="0" w:line="276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4445" distB="4445" distL="4445" distR="4445" simplePos="0" relativeHeight="3" behindDoc="0" locked="0" layoutInCell="1" allowOverlap="1">
                <wp:simplePos x="0" y="0"/>
                <wp:positionH relativeFrom="column">
                  <wp:posOffset>1197610</wp:posOffset>
                </wp:positionH>
                <wp:positionV relativeFrom="paragraph">
                  <wp:posOffset>12065</wp:posOffset>
                </wp:positionV>
                <wp:extent cx="561975" cy="2362200"/>
                <wp:effectExtent l="4762" t="4762" r="4762" b="4762"/>
                <wp:wrapNone/>
                <wp:docPr id="13" name="Фигура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 flipV="1">
                          <a:off x="0" y="0"/>
                          <a:ext cx="561960" cy="23623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D0D0D"/>
                          </a:solidFill>
                          <a:prstDash val="lgDash"/>
                          <a:round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2" o:spid="_x0000_s12" style="position:absolute;left:0;text-align:left;z-index:3;mso-wrap-distance-left:0.35pt;mso-wrap-distance-top:0.35pt;mso-wrap-distance-right:0.35pt;mso-wrap-distance-bottom:0.35pt;flip:xy;visibility:visible;" from="94.3pt,0.9pt" to="138.6pt,186.9pt" filled="f" strokecolor="#0D0D0D" strokeweight="0.75pt">
                <v:stroke dashstyle="longdash"/>
              </v:lin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4445" distB="4445" distL="4445" distR="4445" simplePos="0" relativeHeight="4" behindDoc="0" locked="0" layoutInCell="1" allowOverlap="1">
                <wp:simplePos x="0" y="0"/>
                <wp:positionH relativeFrom="column">
                  <wp:posOffset>1825625</wp:posOffset>
                </wp:positionH>
                <wp:positionV relativeFrom="paragraph">
                  <wp:posOffset>221615</wp:posOffset>
                </wp:positionV>
                <wp:extent cx="2981325" cy="2152650"/>
                <wp:effectExtent l="4762" t="4762" r="4762" b="4762"/>
                <wp:wrapNone/>
                <wp:docPr id="14" name="Фигура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2981160" cy="2152800"/>
                        </a:xfrm>
                        <a:prstGeom prst="line">
                          <a:avLst/>
                        </a:prstGeom>
                        <a:ln>
                          <a:solidFill>
                            <a:srgbClr val="0D0D0D"/>
                          </a:solidFill>
                          <a:prstDash val="lgDash"/>
                          <a:round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3" o:spid="_x0000_s13" style="position:absolute;left:0;text-align:left;z-index:4;mso-wrap-distance-left:0.35pt;mso-wrap-distance-top:0.35pt;mso-wrap-distance-right:0.35pt;mso-wrap-distance-bottom:0.35pt;flip:y;visibility:visible;" from="143.8pt,17.4pt" to="378.5pt,186.9pt" filled="f" strokecolor="#0D0D0D" strokeweight="0.75pt">
                <v:stroke dashstyle="longdash"/>
              </v:lin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4"/>
        <w:contextualSpacing/>
        <w:jc w:val="center"/>
        <w:spacing w:before="0" w:after="0" w:line="276" w:lineRule="auto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4"/>
        <w:contextualSpacing/>
        <w:jc w:val="center"/>
        <w:spacing w:before="0" w:after="0" w:line="276" w:lineRule="auto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4"/>
        <w:contextualSpacing/>
        <w:jc w:val="center"/>
        <w:spacing w:before="0" w:after="0" w:line="276" w:lineRule="auto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4"/>
        <w:contextualSpacing/>
        <w:jc w:val="center"/>
        <w:spacing w:before="0" w:after="0" w:line="276" w:lineRule="auto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4"/>
        <w:contextualSpacing/>
        <w:jc w:val="center"/>
        <w:spacing w:before="0" w:after="0" w:line="276" w:lineRule="auto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4"/>
        <w:contextualSpacing/>
        <w:jc w:val="center"/>
        <w:spacing w:before="0" w:after="0" w:line="276" w:lineRule="auto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4"/>
        <w:contextualSpacing/>
        <w:jc w:val="center"/>
        <w:spacing w:before="0" w:after="0" w:line="276" w:lineRule="auto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4"/>
        <w:contextualSpacing/>
        <w:jc w:val="center"/>
        <w:spacing w:before="0" w:after="0" w:line="276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10160" distB="8890" distL="9525" distR="9525" simplePos="0" relativeHeight="6" behindDoc="0" locked="0" layoutInCell="1" allowOverlap="1">
                <wp:simplePos x="0" y="0"/>
                <wp:positionH relativeFrom="column">
                  <wp:posOffset>4302125</wp:posOffset>
                </wp:positionH>
                <wp:positionV relativeFrom="paragraph">
                  <wp:posOffset>45720</wp:posOffset>
                </wp:positionV>
                <wp:extent cx="495300" cy="638175"/>
                <wp:effectExtent l="9525" t="10160" r="9525" b="8890"/>
                <wp:wrapNone/>
                <wp:docPr id="15" name="Фигура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95360" cy="638280"/>
                        </a:xfrm>
                        <a:prstGeom prst="rect">
                          <a:avLst/>
                        </a:prstGeom>
                        <a:noFill/>
                        <a:ln w="19049">
                          <a:solidFill>
                            <a:srgbClr val="80808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4" o:spid="_x0000_s14" o:spt="1" type="#_x0000_t1" style="position:absolute;z-index:6;o:allowoverlap:true;o:allowincell:true;mso-position-horizontal-relative:text;margin-left:338.75pt;mso-position-horizontal:absolute;mso-position-vertical-relative:text;margin-top:3.60pt;mso-position-vertical:absolute;width:39.00pt;height:50.25pt;mso-wrap-distance-left:0.75pt;mso-wrap-distance-top:0.80pt;mso-wrap-distance-right:0.75pt;mso-wrap-distance-bottom:0.70pt;visibility:visible;" filled="f" strokecolor="#808080" strokeweight="1.50pt">
                <v:stroke dashstyle="solid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10160" distB="8890" distL="9525" distR="9525" simplePos="0" relativeHeight="7" behindDoc="0" locked="0" layoutInCell="1" allowOverlap="1">
                <wp:simplePos x="0" y="0"/>
                <wp:positionH relativeFrom="column">
                  <wp:posOffset>4893310</wp:posOffset>
                </wp:positionH>
                <wp:positionV relativeFrom="paragraph">
                  <wp:posOffset>45720</wp:posOffset>
                </wp:positionV>
                <wp:extent cx="495300" cy="638175"/>
                <wp:effectExtent l="9525" t="10160" r="9525" b="8890"/>
                <wp:wrapNone/>
                <wp:docPr id="16" name="Фигура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95360" cy="638280"/>
                        </a:xfrm>
                        <a:prstGeom prst="rect">
                          <a:avLst/>
                        </a:prstGeom>
                        <a:noFill/>
                        <a:ln w="19049">
                          <a:solidFill>
                            <a:srgbClr val="80808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5" o:spid="_x0000_s15" o:spt="1" type="#_x0000_t1" style="position:absolute;z-index:7;o:allowoverlap:true;o:allowincell:true;mso-position-horizontal-relative:text;margin-left:385.30pt;mso-position-horizontal:absolute;mso-position-vertical-relative:text;margin-top:3.60pt;mso-position-vertical:absolute;width:39.00pt;height:50.25pt;mso-wrap-distance-left:0.75pt;mso-wrap-distance-top:0.80pt;mso-wrap-distance-right:0.75pt;mso-wrap-distance-bottom:0.70pt;visibility:visible;" filled="f" strokecolor="#808080" strokeweight="1.50pt">
                <v:stroke dashstyle="solid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635" distL="114935" distR="115570" simplePos="0" relativeHeight="13" behindDoc="0" locked="0" layoutInCell="1" allowOverlap="1">
                <wp:simplePos x="0" y="0"/>
                <wp:positionH relativeFrom="column">
                  <wp:posOffset>1372235</wp:posOffset>
                </wp:positionH>
                <wp:positionV relativeFrom="paragraph">
                  <wp:posOffset>234315</wp:posOffset>
                </wp:positionV>
                <wp:extent cx="196850" cy="196850"/>
                <wp:effectExtent l="3810" t="3810" r="3810" b="3810"/>
                <wp:wrapThrough wrapText="bothSides">
                  <wp:wrapPolygon edited="1">
                    <wp:start x="5859" y="0"/>
                    <wp:lineTo x="21665" y="0"/>
                    <wp:lineTo x="19758" y="5137"/>
                    <wp:lineTo x="29502" y="13762"/>
                    <wp:lineTo x="13762" y="21599"/>
                    <wp:lineTo x="7836" y="21599"/>
                    <wp:lineTo x="3178" y="18421"/>
                    <wp:lineTo x="13697" y="13762"/>
                    <wp:lineTo x="1218" y="5137"/>
                  </wp:wrapPolygon>
                </wp:wrapThrough>
                <wp:docPr id="17" name="Фигура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96920" cy="1969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6349">
                          <a:solidFill>
                            <a:srgbClr val="0D0D0D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6" o:spid="_x0000_s16" o:spt="3" type="#_x0000_t3" style="position:absolute;z-index:13;o:allowoverlap:true;o:allowincell:true;mso-position-horizontal-relative:text;margin-left:108.05pt;mso-position-horizontal:absolute;mso-position-vertical-relative:text;margin-top:18.45pt;mso-position-vertical:absolute;width:15.50pt;height:15.50pt;mso-wrap-distance-left:9.05pt;mso-wrap-distance-top:0.00pt;mso-wrap-distance-right:9.10pt;mso-wrap-distance-bottom:0.05pt;visibility:visible;" wrapcoords="27125 0 100301 0 91472 23782 136583 63713 63713 99995 36278 99995 14713 85282 63412 63713 5639 23782" fillcolor="#FFFFFF" strokecolor="#0D0D0D" strokeweight="0.50pt">
                <v:stroke dashstyle="solid"/>
                <w10:wrap type="through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635" distB="0" distL="115570" distR="114300" simplePos="0" relativeHeight="14" behindDoc="0" locked="0" layoutInCell="1" allowOverlap="1">
                <wp:simplePos x="0" y="0"/>
                <wp:positionH relativeFrom="column">
                  <wp:posOffset>1340485</wp:posOffset>
                </wp:positionH>
                <wp:positionV relativeFrom="paragraph">
                  <wp:posOffset>189865</wp:posOffset>
                </wp:positionV>
                <wp:extent cx="275590" cy="255905"/>
                <wp:effectExtent l="0" t="635" r="0" b="0"/>
                <wp:wrapThrough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hrough>
                <wp:docPr id="18" name="Фигура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75760" cy="255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1_1749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1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7" o:spid="_x0000_s17" o:spt="1" type="#_x0000_t1" style="position:absolute;z-index:14;o:allowoverlap:true;o:allowincell:true;mso-position-horizontal-relative:text;margin-left:105.55pt;mso-position-horizontal:absolute;mso-position-vertical-relative:text;margin-top:14.95pt;mso-position-vertical:absolute;width:21.70pt;height:20.15pt;mso-wrap-distance-left:9.10pt;mso-wrap-distance-top:0.05pt;mso-wrap-distance-right:9.00pt;mso-wrap-distance-bottom:0.00pt;v-text-anchor:top;visibility:visible;" wrapcoords="0 0 100000 0 100000 100000 0 100000" filled="f" stroked="f" strokeweight="0.50pt">
                <w10:wrap type="through"/>
                <v:textbox inset="0,0,0,0">
                  <w:txbxContent>
                    <w:p>
                      <w:pPr>
                        <w:pStyle w:val="1_1749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1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4"/>
        <w:contextualSpacing/>
        <w:jc w:val="center"/>
        <w:spacing w:before="0" w:after="0" w:line="276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12700" distB="12700" distL="12700" distR="12700" simplePos="0" relativeHeight="5" behindDoc="0" locked="0" layoutInCell="1" allowOverlap="1">
                <wp:simplePos x="0" y="0"/>
                <wp:positionH relativeFrom="column">
                  <wp:posOffset>1302385</wp:posOffset>
                </wp:positionH>
                <wp:positionV relativeFrom="paragraph">
                  <wp:posOffset>29845</wp:posOffset>
                </wp:positionV>
                <wp:extent cx="809625" cy="476250"/>
                <wp:effectExtent l="12700" t="12700" r="12700" b="12700"/>
                <wp:wrapNone/>
                <wp:docPr id="19" name="Фигура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09640" cy="4762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80808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8" o:spid="_x0000_s18" o:spt="1" type="#_x0000_t1" style="position:absolute;z-index:5;o:allowoverlap:true;o:allowincell:true;mso-position-horizontal-relative:text;margin-left:102.55pt;mso-position-horizontal:absolute;mso-position-vertical-relative:text;margin-top:2.35pt;mso-position-vertical:absolute;width:63.75pt;height:37.50pt;mso-wrap-distance-left:1.00pt;mso-wrap-distance-top:1.00pt;mso-wrap-distance-right:1.00pt;mso-wrap-distance-bottom:1.00pt;visibility:visible;" filled="f" strokecolor="#808080" strokeweight="2.00pt">
                <v:stroke dashstyle="solid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6350" distB="6985" distL="6985" distR="6985" simplePos="0" relativeHeight="19" behindDoc="0" locked="0" layoutInCell="1" allowOverlap="1">
                <wp:simplePos x="0" y="0"/>
                <wp:positionH relativeFrom="column">
                  <wp:posOffset>1706880</wp:posOffset>
                </wp:positionH>
                <wp:positionV relativeFrom="paragraph">
                  <wp:posOffset>154305</wp:posOffset>
                </wp:positionV>
                <wp:extent cx="220345" cy="227330"/>
                <wp:effectExtent l="6985" t="6350" r="6985" b="6985"/>
                <wp:wrapNone/>
                <wp:docPr id="20" name="Фигура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20320" cy="227160"/>
                        </a:xfrm>
                        <a:prstGeom prst="actionButtonMovie">
                          <a:avLst/>
                        </a:prstGeom>
                        <a:solidFill>
                          <a:schemeClr val="bg1"/>
                        </a:solidFill>
                        <a:ln w="12699">
                          <a:solidFill>
                            <a:srgbClr val="0D0D0D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9" o:spid="_x0000_s19" o:spt="200" type="#_x0000_t200" style="position:absolute;z-index:19;o:allowoverlap:true;o:allowincell:true;mso-position-horizontal-relative:text;margin-left:134.40pt;mso-position-horizontal:absolute;mso-position-vertical-relative:text;margin-top:12.15pt;mso-position-vertical:absolute;width:17.35pt;height:17.90pt;mso-wrap-distance-left:0.55pt;mso-wrap-distance-top:0.50pt;mso-wrap-distance-right:0.55pt;mso-wrap-distance-bottom:0.55pt;visibility:visible;" fillcolor="#FFFFFF" strokecolor="#0D0D0D" strokeweight="1.00pt">
                <v:stroke dashstyle="solid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4"/>
        <w:contextualSpacing/>
        <w:jc w:val="center"/>
        <w:spacing w:before="0" w:after="0" w:line="276" w:lineRule="auto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4"/>
        <w:contextualSpacing/>
        <w:jc w:val="center"/>
        <w:spacing w:before="0" w:after="0" w:line="276" w:lineRule="auto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4"/>
        <w:contextualSpacing/>
        <w:ind w:left="1134" w:right="0" w:hanging="425"/>
        <w:jc w:val="center"/>
        <w:spacing w:before="0" w:after="0" w:line="276" w:lineRule="auto"/>
        <w:widowControl w:val="off"/>
        <w:rPr>
          <w:bCs/>
          <w:i/>
          <w:sz w:val="40"/>
          <w:szCs w:val="40"/>
        </w:rPr>
      </w:pPr>
      <w:r>
        <w:rPr>
          <w:bCs/>
          <w:i/>
          <w:sz w:val="40"/>
          <w:szCs w:val="40"/>
        </w:rPr>
      </w:r>
      <w:r>
        <w:rPr>
          <w:bCs/>
          <w:i/>
          <w:sz w:val="40"/>
          <w:szCs w:val="40"/>
        </w:rPr>
      </w:r>
      <w:r>
        <w:rPr>
          <w:bCs/>
          <w:i/>
          <w:sz w:val="40"/>
          <w:szCs w:val="40"/>
        </w:rPr>
      </w:r>
    </w:p>
    <w:p>
      <w:pPr>
        <w:pStyle w:val="684"/>
        <w:ind w:left="1134" w:right="0" w:hanging="425"/>
        <w:jc w:val="both"/>
        <w:spacing w:line="276" w:lineRule="auto"/>
        <w:widowControl w:val="off"/>
        <w:rPr>
          <w:i/>
          <w:iCs/>
          <w:sz w:val="36"/>
          <w:szCs w:val="52"/>
        </w:rPr>
      </w:pPr>
      <w:r>
        <w:rPr>
          <w:i/>
          <w:iCs/>
          <w:sz w:val="24"/>
          <w:szCs w:val="40"/>
        </w:rPr>
        <w:t xml:space="preserve">1 </w:t>
        <w:tab/>
        <w:t xml:space="preserve">- место расположения средств видеорегистрации (видеофиксации)</w:t>
      </w:r>
      <w:r>
        <w:rPr>
          <w:i/>
          <w:iCs/>
          <w:sz w:val="36"/>
          <w:szCs w:val="52"/>
        </w:rPr>
      </w:r>
      <w:r>
        <w:rPr>
          <w:i/>
          <w:iCs/>
          <w:sz w:val="36"/>
          <w:szCs w:val="52"/>
        </w:rPr>
      </w:r>
    </w:p>
    <w:p>
      <w:pPr>
        <w:pStyle w:val="684"/>
        <w:ind w:left="1134" w:right="0" w:hanging="425"/>
        <w:jc w:val="both"/>
        <w:spacing w:line="276" w:lineRule="auto"/>
        <w:widowControl w:val="off"/>
        <w:rPr>
          <w:i/>
          <w:iCs/>
          <w:sz w:val="36"/>
          <w:szCs w:val="52"/>
        </w:rPr>
      </w:pPr>
      <w:r>
        <w:rPr>
          <w:i/>
          <w:iCs/>
          <w:sz w:val="24"/>
          <w:szCs w:val="40"/>
        </w:rPr>
        <w:t xml:space="preserve">2 </w:t>
        <w:tab/>
        <w:t xml:space="preserve">- место, где производится перемещение избирательных бюллетеней из ящиков для голосования в сейф-пакеты;</w:t>
      </w:r>
      <w:r>
        <w:rPr>
          <w:i/>
          <w:iCs/>
          <w:sz w:val="36"/>
          <w:szCs w:val="52"/>
        </w:rPr>
      </w:r>
      <w:r>
        <w:rPr>
          <w:i/>
          <w:iCs/>
          <w:sz w:val="36"/>
          <w:szCs w:val="52"/>
        </w:rPr>
      </w:r>
    </w:p>
    <w:p>
      <w:pPr>
        <w:pStyle w:val="684"/>
        <w:ind w:left="1134" w:right="0" w:hanging="425"/>
        <w:jc w:val="both"/>
        <w:spacing w:line="276" w:lineRule="auto"/>
        <w:widowControl w:val="off"/>
        <w:rPr>
          <w:i/>
          <w:iCs/>
          <w:sz w:val="36"/>
          <w:szCs w:val="52"/>
        </w:rPr>
      </w:pPr>
      <w:r>
        <w:rPr>
          <w:i/>
          <w:iCs/>
          <w:sz w:val="24"/>
          <w:szCs w:val="40"/>
        </w:rPr>
        <w:t xml:space="preserve">3 </w:t>
        <w:tab/>
        <w:t xml:space="preserve">- сейф (металлический шкаф, металлический ящик), где хранятся сейф-пакеты с избирательными бюллетенями;</w:t>
      </w:r>
      <w:r>
        <w:rPr>
          <w:i/>
          <w:iCs/>
          <w:sz w:val="36"/>
          <w:szCs w:val="52"/>
        </w:rPr>
      </w:r>
      <w:r>
        <w:rPr>
          <w:i/>
          <w:iCs/>
          <w:sz w:val="36"/>
          <w:szCs w:val="52"/>
        </w:rPr>
      </w:r>
    </w:p>
    <w:p>
      <w:pPr>
        <w:pStyle w:val="684"/>
        <w:ind w:left="1134" w:right="0" w:hanging="425"/>
        <w:jc w:val="both"/>
        <w:spacing w:line="276" w:lineRule="auto"/>
        <w:widowControl w:val="off"/>
        <w:rPr>
          <w:i/>
          <w:iCs/>
          <w:sz w:val="36"/>
          <w:szCs w:val="52"/>
        </w:rPr>
      </w:pPr>
      <w:r>
        <w:rPr>
          <w:i/>
          <w:iCs/>
          <w:sz w:val="24"/>
          <w:szCs w:val="40"/>
        </w:rPr>
        <w:t xml:space="preserve">4 </w:t>
        <w:tab/>
        <w:t xml:space="preserve">- стационарные ящики для голосования в период хранения в них бюллетеней в ночное время;</w:t>
      </w:r>
      <w:r>
        <w:rPr>
          <w:i/>
          <w:iCs/>
          <w:sz w:val="36"/>
          <w:szCs w:val="52"/>
        </w:rPr>
      </w:r>
      <w:r>
        <w:rPr>
          <w:i/>
          <w:iCs/>
          <w:sz w:val="36"/>
          <w:szCs w:val="52"/>
        </w:rPr>
      </w:r>
    </w:p>
    <w:p>
      <w:pPr>
        <w:pStyle w:val="684"/>
        <w:contextualSpacing/>
        <w:ind w:firstLine="720"/>
        <w:jc w:val="center"/>
        <w:spacing w:before="0" w:after="0" w:line="276" w:lineRule="auto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84"/>
        <w:spacing w:line="276" w:lineRule="auto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84"/>
        <w:contextualSpacing/>
        <w:ind w:firstLine="720"/>
        <w:jc w:val="both"/>
        <w:spacing w:before="0" w:after="0" w:line="276" w:lineRule="auto"/>
        <w:widowControl w:val="off"/>
        <w:rPr>
          <w:bCs/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567" w:bottom="1134" w:left="1701" w:header="709" w:footer="709" w:gutter="0"/>
          <w:pgNumType w:start="1"/>
          <w:cols w:num="1" w:sep="0" w:space="1701" w:equalWidth="1"/>
          <w:docGrid w:linePitch="360"/>
        </w:sectPr>
      </w:pPr>
      <w:r>
        <w:rPr>
          <w:bCs/>
          <w:sz w:val="28"/>
          <w:szCs w:val="28"/>
        </w:rPr>
        <w:t xml:space="preserve">Данная схема указана для примера.</w:t>
      </w:r>
      <w:r>
        <w:rPr>
          <w:bCs/>
          <w:sz w:val="28"/>
          <w:szCs w:val="28"/>
        </w:rPr>
        <w:t xml:space="preserve"> При размещении средства видеорегистрации (видеофиксации) схема оформляется согласно реальному помещению, выделенному избирательной комиссии, и размещению в нем объектов, которые должны находиться в зоне видимости камеры видеорегистратора (видеофиксатора).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tbl>
      <w:tblPr>
        <w:tblW w:w="9571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227"/>
        <w:gridCol w:w="6343"/>
      </w:tblGrid>
      <w:tr>
        <w:tblPrEx/>
        <w:trPr/>
        <w:tc>
          <w:tcPr>
            <w:tcW w:w="3227" w:type="dxa"/>
            <w:textDirection w:val="lrTb"/>
            <w:noWrap w:val="false"/>
          </w:tcPr>
          <w:p>
            <w:pPr>
              <w:pStyle w:val="684"/>
              <w:contextualSpacing/>
              <w:jc w:val="both"/>
              <w:spacing w:before="0" w:after="0" w:line="276" w:lineRule="auto"/>
              <w:widowControl w:val="off"/>
              <w:tabs>
                <w:tab w:val="left" w:pos="698" w:leader="none"/>
                <w:tab w:val="clear" w:pos="708" w:leader="none"/>
              </w:tabs>
              <w:rPr>
                <w:rFonts w:cs="TimesNewRomanPSMT"/>
              </w:rPr>
            </w:pPr>
            <w:r>
              <w:rPr>
                <w:rFonts w:cs="TimesNewRomanPSMT"/>
              </w:rPr>
            </w:r>
            <w:r>
              <w:rPr>
                <w:rFonts w:cs="TimesNewRomanPSMT"/>
              </w:rPr>
            </w:r>
            <w:r>
              <w:rPr>
                <w:rFonts w:cs="TimesNewRomanPSMT"/>
              </w:rPr>
            </w:r>
          </w:p>
        </w:tc>
        <w:tc>
          <w:tcPr>
            <w:tcW w:w="6343" w:type="dxa"/>
            <w:textDirection w:val="lrTb"/>
            <w:noWrap w:val="false"/>
          </w:tcPr>
          <w:p>
            <w:pPr>
              <w:pStyle w:val="684"/>
              <w:contextualSpacing/>
              <w:jc w:val="center"/>
              <w:spacing w:before="0" w:after="0" w:line="276" w:lineRule="auto"/>
              <w:widowControl w:val="off"/>
              <w:rPr>
                <w:rFonts w:cs="TimesNewRomanPSMT"/>
              </w:rPr>
            </w:pPr>
            <w:r>
              <w:rPr>
                <w:rFonts w:cs="TimesNewRomanPSMT"/>
              </w:rPr>
              <w:t xml:space="preserve">Приложение № 2</w:t>
            </w:r>
            <w:r>
              <w:rPr>
                <w:rFonts w:cs="TimesNewRomanPSMT"/>
              </w:rPr>
            </w:r>
            <w:r>
              <w:rPr>
                <w:rFonts w:cs="TimesNewRomanPSMT"/>
              </w:rPr>
            </w:r>
          </w:p>
          <w:p>
            <w:pPr>
              <w:pStyle w:val="684"/>
              <w:contextualSpacing/>
              <w:jc w:val="center"/>
              <w:spacing w:before="0" w:after="0"/>
              <w:widowControl w:val="off"/>
              <w:tabs>
                <w:tab w:val="left" w:pos="0" w:leader="none"/>
                <w:tab w:val="clear" w:pos="708" w:leader="none"/>
              </w:tabs>
            </w:pPr>
            <w:r>
              <w:rPr>
                <w:rFonts w:cs="TimesNewRomanPSMT"/>
              </w:rPr>
              <w:t xml:space="preserve">к Порядку</w:t>
            </w:r>
            <w:r>
              <w:t xml:space="preserve"> применения средств видеорегистрации (видеофиксации) при проведении выборов в единый день голосования </w:t>
            </w:r>
            <w:r>
              <w:br/>
            </w:r>
            <w:r>
              <w:t xml:space="preserve">20 сентября 2026 года</w:t>
            </w:r>
            <w:r/>
            <w:r/>
          </w:p>
        </w:tc>
      </w:tr>
    </w:tbl>
    <w:p>
      <w:pPr>
        <w:pStyle w:val="684"/>
        <w:contextualSpacing/>
        <w:ind w:firstLine="720"/>
        <w:jc w:val="center"/>
        <w:spacing w:before="0" w:after="0" w:line="276" w:lineRule="auto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84"/>
        <w:contextualSpacing/>
        <w:ind w:firstLine="720"/>
        <w:jc w:val="center"/>
        <w:spacing w:before="0" w:after="0" w:line="276" w:lineRule="auto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Инструкция по работе со средствами видеорегистрации (видеофиксации)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84"/>
        <w:contextualSpacing/>
        <w:ind w:firstLine="720"/>
        <w:jc w:val="center"/>
        <w:spacing w:before="0" w:after="0" w:line="276" w:lineRule="auto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84"/>
        <w:numPr>
          <w:ilvl w:val="0"/>
          <w:numId w:val="4"/>
        </w:numPr>
        <w:contextualSpacing/>
        <w:ind w:left="0" w:firstLine="0"/>
        <w:jc w:val="center"/>
        <w:spacing w:before="0" w:after="0" w:line="276" w:lineRule="auto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Проверка текущего состояния средств видеорегистрации (видеофиксации)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84"/>
        <w:ind w:firstLine="720"/>
        <w:jc w:val="both"/>
        <w:spacing w:before="120" w:after="0" w:line="276" w:lineRule="auto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Члены участковой избирательной комиссии (далее – УИК), осуществляющие работу со средством видеорегистрации (видеофиксации), должны проверить текущее состояние средства видеорегистрации (видеофиксации) и убедиться, что оно включено в электрическую сеть. 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84"/>
        <w:contextualSpacing/>
        <w:ind w:firstLine="720"/>
        <w:jc w:val="both"/>
        <w:spacing w:before="0" w:after="0" w:line="276" w:lineRule="auto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Если средство видеорегистрации (видеофиксации)</w:t>
      </w:r>
      <w:r>
        <w:rPr>
          <w:bCs/>
          <w:sz w:val="28"/>
          <w:szCs w:val="28"/>
        </w:rPr>
        <w:t xml:space="preserve"> включено, то члены УИК, осуществляющие работу со средством видеорегистрации (видеофиксации), должны убедиться в его корректной работе. На установленных в помещении для голосования камерах видеорегистрации (видеофиксации) светятся индикаторы (при наличии).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84"/>
        <w:jc w:val="center"/>
        <w:spacing w:before="120" w:after="120" w:line="276" w:lineRule="auto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 Действия членов УИК, осуществляющих работу со средствами видеорегистрации (видеофиксации), при возникновении нештатной ситуации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84"/>
        <w:ind w:firstLine="709"/>
        <w:jc w:val="both"/>
        <w:spacing w:before="0" w:after="120" w:line="276" w:lineRule="auto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2.1. Перечень возможных неисправностей в работе средств видеорегистрации (видеофиксации):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tbl>
      <w:tblPr>
        <w:tblW w:w="9503" w:type="dxa"/>
        <w:tblInd w:w="-34" w:type="dxa"/>
        <w:tblLayout w:type="fixed"/>
        <w:tblCellMar>
          <w:left w:w="113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568"/>
        <w:gridCol w:w="2698"/>
        <w:gridCol w:w="6237"/>
      </w:tblGrid>
      <w:tr>
        <w:tblPrEx/>
        <w:trPr>
          <w:trHeight w:val="435"/>
        </w:trPr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568" w:type="dxa"/>
            <w:vAlign w:val="center"/>
            <w:textDirection w:val="lrTb"/>
            <w:noWrap w:val="false"/>
          </w:tcPr>
          <w:p>
            <w:pPr>
              <w:pStyle w:val="684"/>
              <w:contextualSpacing/>
              <w:jc w:val="center"/>
              <w:spacing w:before="0" w:after="0" w:line="276" w:lineRule="auto"/>
              <w:widowControl w:val="off"/>
              <w:rPr>
                <w:sz w:val="22"/>
              </w:rPr>
            </w:pPr>
            <w:r>
              <w:rPr>
                <w:sz w:val="22"/>
              </w:rPr>
              <w:t xml:space="preserve">№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698" w:type="dxa"/>
            <w:vAlign w:val="center"/>
            <w:textDirection w:val="lrTb"/>
            <w:noWrap w:val="false"/>
          </w:tcPr>
          <w:p>
            <w:pPr>
              <w:pStyle w:val="684"/>
              <w:contextualSpacing/>
              <w:jc w:val="center"/>
              <w:spacing w:before="0" w:after="0" w:line="276" w:lineRule="auto"/>
              <w:widowControl w:val="off"/>
              <w:rPr>
                <w:sz w:val="24"/>
              </w:rPr>
            </w:pPr>
            <w:r>
              <w:rPr>
                <w:sz w:val="24"/>
              </w:rPr>
              <w:t xml:space="preserve">Описание неисправности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6237" w:type="dxa"/>
            <w:vAlign w:val="center"/>
            <w:textDirection w:val="lrTb"/>
            <w:noWrap w:val="false"/>
          </w:tcPr>
          <w:p>
            <w:pPr>
              <w:pStyle w:val="684"/>
              <w:contextualSpacing/>
              <w:jc w:val="center"/>
              <w:spacing w:before="0" w:after="0" w:line="276" w:lineRule="auto"/>
              <w:widowControl w:val="off"/>
              <w:rPr>
                <w:sz w:val="24"/>
              </w:rPr>
            </w:pPr>
            <w:r>
              <w:rPr>
                <w:sz w:val="24"/>
              </w:rPr>
              <w:t xml:space="preserve">Рекомендуемые действия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435"/>
        </w:trPr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568" w:type="dxa"/>
            <w:textDirection w:val="lrTb"/>
            <w:noWrap w:val="false"/>
          </w:tcPr>
          <w:p>
            <w:pPr>
              <w:pStyle w:val="684"/>
              <w:contextualSpacing/>
              <w:jc w:val="both"/>
              <w:spacing w:before="0" w:after="0" w:line="276" w:lineRule="auto"/>
              <w:widowControl w:val="off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698" w:type="dxa"/>
            <w:textDirection w:val="lrTb"/>
            <w:noWrap w:val="false"/>
          </w:tcPr>
          <w:p>
            <w:pPr>
              <w:pStyle w:val="684"/>
              <w:contextualSpacing/>
              <w:spacing w:before="0" w:after="0" w:line="276" w:lineRule="auto"/>
              <w:widowControl w:val="off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Отключение электроэнергии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6237" w:type="dxa"/>
            <w:textDirection w:val="lrTb"/>
            <w:noWrap w:val="false"/>
          </w:tcPr>
          <w:p>
            <w:pPr>
              <w:pStyle w:val="684"/>
              <w:contextualSpacing/>
              <w:ind w:firstLine="351"/>
              <w:jc w:val="both"/>
              <w:spacing w:before="0" w:after="0" w:line="276" w:lineRule="auto"/>
              <w:widowControl w:val="off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 случае отключения электроэнергии незамедлительно сообщить в службу, ответственную за бесперебойное обеспечение электроэнергией на объекте, с целью уточнения сроков восстановления энергоснабжения.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pStyle w:val="684"/>
              <w:contextualSpacing/>
              <w:ind w:firstLine="351"/>
              <w:jc w:val="both"/>
              <w:spacing w:before="0" w:after="0" w:line="276" w:lineRule="auto"/>
              <w:widowControl w:val="off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После включения электроэнергии выполнить действия в соответствии с разделом 1 настоящей Инструкции и убедиться в корректной работе средства видеорегистрации (видеофиксации)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435"/>
        </w:trPr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568" w:type="dxa"/>
            <w:textDirection w:val="lrTb"/>
            <w:noWrap w:val="false"/>
          </w:tcPr>
          <w:p>
            <w:pPr>
              <w:pStyle w:val="684"/>
              <w:contextualSpacing/>
              <w:jc w:val="both"/>
              <w:spacing w:before="0" w:after="0" w:line="276" w:lineRule="auto"/>
              <w:widowControl w:val="off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698" w:type="dxa"/>
            <w:textDirection w:val="lrTb"/>
            <w:noWrap w:val="false"/>
          </w:tcPr>
          <w:p>
            <w:pPr>
              <w:pStyle w:val="684"/>
              <w:contextualSpacing/>
              <w:spacing w:before="0" w:after="0" w:line="276" w:lineRule="auto"/>
              <w:widowControl w:val="off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Камера имеет неправильный ракурс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6237" w:type="dxa"/>
            <w:textDirection w:val="lrTb"/>
            <w:noWrap w:val="false"/>
          </w:tcPr>
          <w:p>
            <w:pPr>
              <w:pStyle w:val="684"/>
              <w:contextualSpacing/>
              <w:jc w:val="both"/>
              <w:spacing w:before="0" w:after="0" w:line="276" w:lineRule="auto"/>
              <w:widowControl w:val="off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Передвинуть соответствующее оборудование для обеспечения выполнения требований к объектам видеорегистрации (видеофиксации). Если невозможно передвинуть мебель, сообщить в ТИК и действовать согласно полученным инструкциям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</w:tr>
    </w:tbl>
    <w:p>
      <w:pPr>
        <w:pStyle w:val="684"/>
        <w:ind w:firstLine="720"/>
        <w:jc w:val="both"/>
        <w:spacing w:before="120" w:after="0" w:line="276" w:lineRule="auto"/>
        <w:widowControl w:val="off"/>
        <w:rPr>
          <w:bCs/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9" w:footer="709" w:gutter="0"/>
          <w:pgNumType w:start="1"/>
          <w:cols w:num="1" w:sep="0" w:space="1701" w:equalWidth="1"/>
          <w:docGrid w:linePitch="360"/>
          <w:titlePg/>
        </w:sectPr>
      </w:pPr>
      <w:r>
        <w:rPr>
          <w:bCs/>
          <w:sz w:val="28"/>
          <w:szCs w:val="28"/>
        </w:rPr>
        <w:t xml:space="preserve">2.2. В случае если рекомендуемые действия не привели к восстановлению работоспособности средства видеоре</w:t>
      </w:r>
      <w:r>
        <w:rPr>
          <w:bCs/>
          <w:sz w:val="28"/>
          <w:szCs w:val="28"/>
        </w:rPr>
        <w:t xml:space="preserve">гистрации (видеофиксации), а также в случае выявления иных неисправностей в работе средства видеорегистрации (видеофиксации) члены УИК, осуществляющие работу со средствами видеорегистрации (видеофиксации), сообщают об этом председателю соответствующей УИК.</w:t>
      </w:r>
      <w:r>
        <w:br w:type="page" w:clear="all"/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tbl>
      <w:tblPr>
        <w:tblW w:w="15700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8754"/>
        <w:gridCol w:w="6945"/>
      </w:tblGrid>
      <w:tr>
        <w:tblPrEx/>
        <w:trPr>
          <w:trHeight w:val="1389"/>
        </w:trPr>
        <w:tc>
          <w:tcPr>
            <w:shd w:val="clear" w:color="ffffff" w:fill="ffffff"/>
            <w:tcW w:w="8754" w:type="dxa"/>
            <w:textDirection w:val="lrTb"/>
            <w:noWrap w:val="false"/>
          </w:tcPr>
          <w:p>
            <w:pPr>
              <w:pStyle w:val="684"/>
              <w:contextualSpacing/>
              <w:ind w:firstLine="720"/>
              <w:jc w:val="both"/>
              <w:pageBreakBefore/>
              <w:spacing w:before="0" w:after="12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W w:w="6945" w:type="dxa"/>
            <w:textDirection w:val="lrTb"/>
            <w:noWrap w:val="false"/>
          </w:tcPr>
          <w:p>
            <w:pPr>
              <w:pStyle w:val="684"/>
              <w:contextualSpacing/>
              <w:jc w:val="center"/>
              <w:spacing w:before="0" w:after="0" w:line="276" w:lineRule="auto"/>
              <w:widowControl w:val="off"/>
              <w:rPr>
                <w:rFonts w:cs="TimesNewRomanPSMT"/>
              </w:rPr>
            </w:pPr>
            <w:r>
              <w:rPr>
                <w:rFonts w:cs="TimesNewRomanPSMT"/>
              </w:rPr>
              <w:t xml:space="preserve">Приложение № 3</w:t>
            </w:r>
            <w:r>
              <w:rPr>
                <w:rFonts w:cs="TimesNewRomanPSMT"/>
              </w:rPr>
            </w:r>
            <w:r>
              <w:rPr>
                <w:rFonts w:cs="TimesNewRomanPSMT"/>
              </w:rPr>
            </w:r>
          </w:p>
          <w:p>
            <w:pPr>
              <w:pStyle w:val="684"/>
              <w:contextualSpacing/>
              <w:jc w:val="center"/>
              <w:spacing w:before="0" w:after="0"/>
              <w:widowControl w:val="off"/>
              <w:tabs>
                <w:tab w:val="left" w:pos="0" w:leader="none"/>
                <w:tab w:val="clear" w:pos="708" w:leader="none"/>
              </w:tabs>
            </w:pPr>
            <w:r>
              <w:rPr>
                <w:rFonts w:cs="TimesNewRomanPSMT"/>
              </w:rPr>
              <w:t xml:space="preserve">к Порядку</w:t>
            </w:r>
            <w:r>
              <w:t xml:space="preserve"> применения средств видеорегистрации (видеофиксации) при проведении выборов в единый день голосования 20 сентября 2026 года</w:t>
            </w:r>
            <w:r/>
            <w:r/>
          </w:p>
        </w:tc>
      </w:tr>
    </w:tbl>
    <w:p>
      <w:pPr>
        <w:pStyle w:val="684"/>
        <w:contextualSpacing/>
        <w:jc w:val="center"/>
        <w:spacing w:before="0" w:after="120" w:line="276" w:lineRule="auto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684"/>
        <w:contextualSpacing/>
        <w:jc w:val="center"/>
        <w:spacing w:before="0" w:after="120" w:line="276" w:lineRule="auto"/>
        <w:widowControl w:val="off"/>
        <w:rPr>
          <w:b/>
          <w:sz w:val="22"/>
        </w:rPr>
      </w:pPr>
      <w:r>
        <w:rPr>
          <w:b/>
          <w:sz w:val="22"/>
        </w:rPr>
        <w:t xml:space="preserve">Ведомость применения средства видеорегистрации (видеофиксации) в помещении для голосования избирательного участка № _____ </w:t>
      </w:r>
      <w:r>
        <w:rPr>
          <w:b/>
          <w:sz w:val="22"/>
        </w:rPr>
      </w:r>
      <w:r>
        <w:rPr>
          <w:b/>
          <w:sz w:val="22"/>
        </w:rPr>
      </w:r>
    </w:p>
    <w:p>
      <w:pPr>
        <w:pStyle w:val="684"/>
        <w:contextualSpacing/>
        <w:jc w:val="center"/>
        <w:spacing w:before="0" w:after="120" w:line="276" w:lineRule="auto"/>
        <w:widowControl w:val="off"/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tbl>
      <w:tblPr>
        <w:tblW w:w="15231" w:type="dxa"/>
        <w:tblInd w:w="255" w:type="dxa"/>
        <w:tblLayout w:type="fixed"/>
        <w:tblCellMar>
          <w:left w:w="113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709"/>
        <w:gridCol w:w="709"/>
        <w:gridCol w:w="1984"/>
        <w:gridCol w:w="2906"/>
        <w:gridCol w:w="1875"/>
        <w:gridCol w:w="2193"/>
        <w:gridCol w:w="1528"/>
        <w:gridCol w:w="1247"/>
        <w:gridCol w:w="1251"/>
        <w:gridCol w:w="827"/>
      </w:tblGrid>
      <w:tr>
        <w:tblPrEx/>
        <w:trPr>
          <w:cantSplit/>
        </w:trPr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pStyle w:val="684"/>
              <w:contextualSpacing/>
              <w:ind w:right="113"/>
              <w:jc w:val="center"/>
              <w:spacing w:before="0" w:after="0" w:line="276" w:lineRule="auto"/>
              <w:widowControl w:val="off"/>
            </w:pPr>
            <w:r>
              <w:t xml:space="preserve">№</w:t>
            </w:r>
            <w:r/>
            <w:r/>
          </w:p>
          <w:p>
            <w:pPr>
              <w:pStyle w:val="684"/>
              <w:contextualSpacing/>
              <w:ind w:right="113"/>
              <w:jc w:val="center"/>
              <w:spacing w:before="0" w:after="0" w:line="276" w:lineRule="auto"/>
              <w:widowControl w:val="off"/>
            </w:pPr>
            <w:r>
              <w:t xml:space="preserve">п/п</w:t>
            </w:r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pStyle w:val="684"/>
              <w:contextualSpacing/>
              <w:ind w:right="113"/>
              <w:jc w:val="both"/>
              <w:spacing w:before="0" w:after="0" w:line="276" w:lineRule="auto"/>
              <w:widowControl w:val="off"/>
            </w:pPr>
            <w:r>
              <w:rPr>
                <w:spacing w:val="-20"/>
              </w:rPr>
              <w:t xml:space="preserve">Дата</w:t>
            </w:r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pStyle w:val="684"/>
              <w:contextualSpacing/>
              <w:ind w:right="113"/>
              <w:jc w:val="center"/>
              <w:spacing w:before="0" w:after="0" w:line="276" w:lineRule="auto"/>
              <w:widowControl w:val="off"/>
            </w:pPr>
            <w:r>
              <w:t xml:space="preserve">Время</w:t>
            </w:r>
            <w:r/>
            <w:r/>
          </w:p>
          <w:p>
            <w:pPr>
              <w:pStyle w:val="684"/>
              <w:contextualSpacing/>
              <w:ind w:right="113"/>
              <w:jc w:val="center"/>
              <w:spacing w:before="0" w:after="0" w:line="276" w:lineRule="auto"/>
              <w:widowControl w:val="off"/>
            </w:pPr>
            <w:r>
              <w:t xml:space="preserve">(часы, минуты) начала/завершения проводимых действий</w:t>
            </w:r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906" w:type="dxa"/>
            <w:vAlign w:val="center"/>
            <w:vMerge w:val="restart"/>
            <w:textDirection w:val="lrTb"/>
            <w:noWrap w:val="false"/>
          </w:tcPr>
          <w:p>
            <w:pPr>
              <w:pStyle w:val="684"/>
              <w:contextualSpacing/>
              <w:ind w:right="113"/>
              <w:jc w:val="center"/>
              <w:spacing w:before="0" w:after="0" w:line="276" w:lineRule="auto"/>
              <w:widowControl w:val="off"/>
            </w:pPr>
            <w:r>
              <w:t xml:space="preserve">Основания инициирования действия по проверке работоспособности средства видеорегистрации (видеофиксации)</w:t>
            </w:r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875" w:type="dxa"/>
            <w:vAlign w:val="center"/>
            <w:vMerge w:val="restart"/>
            <w:textDirection w:val="lrTb"/>
            <w:noWrap w:val="false"/>
          </w:tcPr>
          <w:p>
            <w:pPr>
              <w:pStyle w:val="684"/>
              <w:contextualSpacing/>
              <w:ind w:left="-57" w:right="-57"/>
              <w:jc w:val="center"/>
              <w:spacing w:before="0" w:after="0" w:line="276" w:lineRule="auto"/>
              <w:widowControl w:val="off"/>
            </w:pPr>
            <w:r>
              <w:t xml:space="preserve">Результат проверки работоспособности средства видеорегистрации (видеофиксации) (выключен, включен)</w:t>
            </w:r>
            <w:r/>
            <w:r/>
          </w:p>
        </w:tc>
        <w:tc>
          <w:tcPr>
            <w:gridSpan w:val="3"/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4968" w:type="dxa"/>
            <w:vAlign w:val="center"/>
            <w:textDirection w:val="lrTb"/>
            <w:noWrap w:val="false"/>
          </w:tcPr>
          <w:p>
            <w:pPr>
              <w:pStyle w:val="684"/>
              <w:contextualSpacing/>
              <w:ind w:right="113"/>
              <w:jc w:val="center"/>
              <w:spacing w:before="0" w:after="0" w:line="276" w:lineRule="auto"/>
              <w:widowControl w:val="off"/>
            </w:pPr>
            <w:r>
              <w:t xml:space="preserve">Инициатор действий по проверке работоспособности средства видеорегистрации (видеофиксации)</w:t>
            </w:r>
            <w:r/>
            <w:r/>
          </w:p>
        </w:tc>
        <w:tc>
          <w:tcPr>
            <w:gridSpan w:val="2"/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078" w:type="dxa"/>
            <w:vAlign w:val="center"/>
            <w:textDirection w:val="lrTb"/>
            <w:noWrap w:val="false"/>
          </w:tcPr>
          <w:p>
            <w:pPr>
              <w:pStyle w:val="684"/>
              <w:contextualSpacing/>
              <w:ind w:right="113"/>
              <w:jc w:val="center"/>
              <w:spacing w:before="0" w:after="0" w:line="276" w:lineRule="auto"/>
              <w:widowControl w:val="off"/>
            </w:pPr>
            <w:r>
              <w:t xml:space="preserve">Члены УИК осуществляющие работу со средством видеорегистрации (видеофиксации)</w:t>
            </w:r>
            <w:r/>
            <w:r/>
          </w:p>
        </w:tc>
      </w:tr>
      <w:tr>
        <w:tblPrEx/>
        <w:trPr>
          <w:cantSplit/>
        </w:trPr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906" w:type="dxa"/>
            <w:vMerge w:val="continue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875" w:type="dxa"/>
            <w:vAlign w:val="center"/>
            <w:vMerge w:val="continue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193" w:type="dxa"/>
            <w:vAlign w:val="center"/>
            <w:textDirection w:val="lrTb"/>
            <w:noWrap w:val="false"/>
          </w:tcPr>
          <w:p>
            <w:pPr>
              <w:pStyle w:val="684"/>
              <w:contextualSpacing/>
              <w:ind w:right="113"/>
              <w:jc w:val="center"/>
              <w:spacing w:before="0" w:after="0" w:line="276" w:lineRule="auto"/>
              <w:widowControl w:val="off"/>
            </w:pPr>
            <w:r>
              <w:t xml:space="preserve">ФИО</w:t>
            </w:r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528" w:type="dxa"/>
            <w:vAlign w:val="center"/>
            <w:textDirection w:val="lrTb"/>
            <w:noWrap w:val="false"/>
          </w:tcPr>
          <w:p>
            <w:pPr>
              <w:pStyle w:val="684"/>
              <w:contextualSpacing/>
              <w:ind w:left="-113" w:right="113"/>
              <w:jc w:val="center"/>
              <w:spacing w:before="0" w:after="0" w:line="276" w:lineRule="auto"/>
              <w:widowControl w:val="off"/>
            </w:pPr>
            <w:r>
              <w:rPr>
                <w:sz w:val="18"/>
                <w:szCs w:val="18"/>
              </w:rPr>
              <w:t xml:space="preserve">Должность в избирательной комиссии</w:t>
            </w:r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247" w:type="dxa"/>
            <w:vAlign w:val="center"/>
            <w:textDirection w:val="lrTb"/>
            <w:noWrap w:val="false"/>
          </w:tcPr>
          <w:p>
            <w:pPr>
              <w:pStyle w:val="684"/>
              <w:contextualSpacing/>
              <w:ind w:right="113"/>
              <w:jc w:val="center"/>
              <w:spacing w:before="0" w:after="0" w:line="276" w:lineRule="auto"/>
              <w:widowControl w:val="off"/>
            </w:pPr>
            <w:r>
              <w:t xml:space="preserve">Подпись</w:t>
            </w:r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251" w:type="dxa"/>
            <w:vAlign w:val="center"/>
            <w:textDirection w:val="lrTb"/>
            <w:noWrap w:val="false"/>
          </w:tcPr>
          <w:p>
            <w:pPr>
              <w:pStyle w:val="684"/>
              <w:contextualSpacing/>
              <w:ind w:right="113"/>
              <w:jc w:val="center"/>
              <w:spacing w:before="0" w:after="0" w:line="276" w:lineRule="auto"/>
              <w:widowControl w:val="off"/>
            </w:pPr>
            <w:r>
              <w:t xml:space="preserve">ФИО</w:t>
            </w:r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827" w:type="dxa"/>
            <w:vAlign w:val="center"/>
            <w:textDirection w:val="lrTb"/>
            <w:noWrap w:val="false"/>
          </w:tcPr>
          <w:p>
            <w:pPr>
              <w:pStyle w:val="684"/>
              <w:contextualSpacing/>
              <w:ind w:left="-113" w:right="-113"/>
              <w:jc w:val="center"/>
              <w:spacing w:before="0" w:after="0" w:line="276" w:lineRule="auto"/>
              <w:widowControl w:val="off"/>
            </w:pPr>
            <w:r>
              <w:t xml:space="preserve">Подпись</w:t>
            </w:r>
            <w:r/>
            <w:r/>
          </w:p>
        </w:tc>
      </w:tr>
      <w:tr>
        <w:tblPrEx/>
        <w:trPr>
          <w:trHeight w:val="247"/>
        </w:trPr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09" w:type="dxa"/>
            <w:textDirection w:val="lrTb"/>
            <w:noWrap w:val="false"/>
          </w:tcPr>
          <w:p>
            <w:pPr>
              <w:pStyle w:val="684"/>
              <w:contextualSpacing/>
              <w:ind w:right="113"/>
              <w:jc w:val="center"/>
              <w:spacing w:before="0" w:after="0" w:line="276" w:lineRule="auto"/>
              <w:widowControl w:val="off"/>
            </w:pPr>
            <w:r>
              <w:rPr>
                <w:b/>
                <w:i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09" w:type="dxa"/>
            <w:textDirection w:val="lrTb"/>
            <w:noWrap w:val="false"/>
          </w:tcPr>
          <w:p>
            <w:pPr>
              <w:pStyle w:val="684"/>
              <w:contextualSpacing/>
              <w:ind w:right="113"/>
              <w:jc w:val="center"/>
              <w:spacing w:before="0" w:after="0" w:line="276" w:lineRule="auto"/>
              <w:widowControl w:val="off"/>
            </w:pPr>
            <w:r>
              <w:rPr>
                <w:b/>
                <w:i/>
              </w:rPr>
              <w:t xml:space="preserve">2</w:t>
            </w:r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984" w:type="dxa"/>
            <w:textDirection w:val="lrTb"/>
            <w:noWrap w:val="false"/>
          </w:tcPr>
          <w:p>
            <w:pPr>
              <w:pStyle w:val="684"/>
              <w:contextualSpacing/>
              <w:ind w:right="113"/>
              <w:jc w:val="center"/>
              <w:spacing w:before="0" w:after="0" w:line="276" w:lineRule="auto"/>
              <w:widowControl w:val="off"/>
            </w:pPr>
            <w:r>
              <w:rPr>
                <w:b/>
                <w:i/>
              </w:rPr>
              <w:t xml:space="preserve">3</w:t>
            </w:r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906" w:type="dxa"/>
            <w:textDirection w:val="lrTb"/>
            <w:noWrap w:val="false"/>
          </w:tcPr>
          <w:p>
            <w:pPr>
              <w:pStyle w:val="684"/>
              <w:contextualSpacing/>
              <w:ind w:right="113"/>
              <w:jc w:val="center"/>
              <w:spacing w:before="0" w:after="0" w:line="276" w:lineRule="auto"/>
              <w:widowControl w:val="off"/>
            </w:pPr>
            <w:r>
              <w:rPr>
                <w:b/>
                <w:i/>
              </w:rPr>
              <w:t xml:space="preserve">4</w:t>
            </w:r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875" w:type="dxa"/>
            <w:textDirection w:val="lrTb"/>
            <w:noWrap w:val="false"/>
          </w:tcPr>
          <w:p>
            <w:pPr>
              <w:pStyle w:val="684"/>
              <w:contextualSpacing/>
              <w:ind w:right="113"/>
              <w:jc w:val="center"/>
              <w:spacing w:before="0" w:after="0" w:line="276" w:lineRule="auto"/>
              <w:widowControl w:val="off"/>
            </w:pPr>
            <w:r>
              <w:rPr>
                <w:b/>
                <w:i/>
              </w:rPr>
              <w:t xml:space="preserve">5</w:t>
            </w:r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193" w:type="dxa"/>
            <w:textDirection w:val="lrTb"/>
            <w:noWrap w:val="false"/>
          </w:tcPr>
          <w:p>
            <w:pPr>
              <w:pStyle w:val="684"/>
              <w:contextualSpacing/>
              <w:ind w:right="113"/>
              <w:jc w:val="center"/>
              <w:spacing w:before="0" w:after="0" w:line="276" w:lineRule="auto"/>
              <w:widowControl w:val="off"/>
            </w:pPr>
            <w:r>
              <w:rPr>
                <w:b/>
                <w:i/>
              </w:rPr>
              <w:t xml:space="preserve">6</w:t>
            </w:r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528" w:type="dxa"/>
            <w:textDirection w:val="lrTb"/>
            <w:noWrap w:val="false"/>
          </w:tcPr>
          <w:p>
            <w:pPr>
              <w:pStyle w:val="684"/>
              <w:contextualSpacing/>
              <w:ind w:right="113"/>
              <w:jc w:val="center"/>
              <w:spacing w:before="0" w:after="0" w:line="276" w:lineRule="auto"/>
              <w:widowControl w:val="off"/>
            </w:pPr>
            <w:r>
              <w:rPr>
                <w:b/>
                <w:i/>
              </w:rPr>
              <w:t xml:space="preserve">7</w:t>
            </w:r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247" w:type="dxa"/>
            <w:textDirection w:val="lrTb"/>
            <w:noWrap w:val="false"/>
          </w:tcPr>
          <w:p>
            <w:pPr>
              <w:pStyle w:val="684"/>
              <w:contextualSpacing/>
              <w:ind w:right="113"/>
              <w:jc w:val="center"/>
              <w:spacing w:before="0" w:after="0" w:line="276" w:lineRule="auto"/>
              <w:widowControl w:val="off"/>
            </w:pPr>
            <w:r>
              <w:rPr>
                <w:b/>
                <w:i/>
              </w:rPr>
              <w:t xml:space="preserve">8</w:t>
            </w:r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251" w:type="dxa"/>
            <w:textDirection w:val="lrTb"/>
            <w:noWrap w:val="false"/>
          </w:tcPr>
          <w:p>
            <w:pPr>
              <w:pStyle w:val="684"/>
              <w:contextualSpacing/>
              <w:ind w:right="113"/>
              <w:jc w:val="center"/>
              <w:spacing w:before="0" w:after="0" w:line="276" w:lineRule="auto"/>
              <w:widowControl w:val="off"/>
            </w:pPr>
            <w:r>
              <w:rPr>
                <w:b/>
                <w:i/>
              </w:rPr>
              <w:t xml:space="preserve">9</w:t>
            </w:r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827" w:type="dxa"/>
            <w:textDirection w:val="lrTb"/>
            <w:noWrap w:val="false"/>
          </w:tcPr>
          <w:p>
            <w:pPr>
              <w:pStyle w:val="684"/>
              <w:contextualSpacing/>
              <w:ind w:right="113"/>
              <w:jc w:val="center"/>
              <w:spacing w:before="0" w:after="0" w:line="276" w:lineRule="auto"/>
              <w:widowControl w:val="off"/>
            </w:pPr>
            <w:r>
              <w:rPr>
                <w:b/>
                <w:i/>
              </w:rPr>
              <w:t xml:space="preserve">10</w:t>
            </w:r>
            <w:r/>
            <w:r/>
          </w:p>
        </w:tc>
      </w:tr>
      <w:tr>
        <w:tblPrEx/>
        <w:trPr>
          <w:cantSplit/>
          <w:trHeight w:val="279"/>
        </w:trPr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</w:pPr>
            <w: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906" w:type="dxa"/>
            <w:vMerge w:val="restart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875" w:type="dxa"/>
            <w:vMerge w:val="restart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193" w:type="dxa"/>
            <w:vMerge w:val="restart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center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528" w:type="dxa"/>
            <w:vMerge w:val="restart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center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247" w:type="dxa"/>
            <w:vMerge w:val="restart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center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251" w:type="dxa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827" w:type="dxa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cantSplit/>
          <w:trHeight w:val="279"/>
        </w:trPr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984" w:type="dxa"/>
            <w:vMerge w:val="continue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906" w:type="dxa"/>
            <w:vMerge w:val="continue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875" w:type="dxa"/>
            <w:vMerge w:val="continue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193" w:type="dxa"/>
            <w:vMerge w:val="continue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center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528" w:type="dxa"/>
            <w:vMerge w:val="continue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center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247" w:type="dxa"/>
            <w:vMerge w:val="continue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center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251" w:type="dxa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827" w:type="dxa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cantSplit/>
          <w:trHeight w:val="279"/>
        </w:trPr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906" w:type="dxa"/>
            <w:vMerge w:val="continue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875" w:type="dxa"/>
            <w:vMerge w:val="restart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193" w:type="dxa"/>
            <w:vMerge w:val="continue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center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528" w:type="dxa"/>
            <w:vMerge w:val="continue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center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247" w:type="dxa"/>
            <w:vMerge w:val="restart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center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251" w:type="dxa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827" w:type="dxa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cantSplit/>
          <w:trHeight w:val="279"/>
        </w:trPr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984" w:type="dxa"/>
            <w:vMerge w:val="continue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906" w:type="dxa"/>
            <w:vMerge w:val="continue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875" w:type="dxa"/>
            <w:vMerge w:val="continue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193" w:type="dxa"/>
            <w:vMerge w:val="continue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center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528" w:type="dxa"/>
            <w:vMerge w:val="continue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center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247" w:type="dxa"/>
            <w:vMerge w:val="continue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center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251" w:type="dxa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827" w:type="dxa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cantSplit/>
          <w:trHeight w:val="279"/>
        </w:trPr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</w:pPr>
            <w:r>
              <w:t xml:space="preserve">2</w:t>
            </w:r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906" w:type="dxa"/>
            <w:vMerge w:val="restart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875" w:type="dxa"/>
            <w:vMerge w:val="restart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193" w:type="dxa"/>
            <w:vMerge w:val="restart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center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528" w:type="dxa"/>
            <w:vMerge w:val="restart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center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247" w:type="dxa"/>
            <w:vMerge w:val="restart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center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251" w:type="dxa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827" w:type="dxa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cantSplit/>
          <w:trHeight w:val="279"/>
        </w:trPr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984" w:type="dxa"/>
            <w:vMerge w:val="continue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906" w:type="dxa"/>
            <w:vMerge w:val="continue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875" w:type="dxa"/>
            <w:vMerge w:val="continue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193" w:type="dxa"/>
            <w:vMerge w:val="continue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center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528" w:type="dxa"/>
            <w:vMerge w:val="continue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center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247" w:type="dxa"/>
            <w:vMerge w:val="continue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center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251" w:type="dxa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827" w:type="dxa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cantSplit/>
          <w:trHeight w:val="279"/>
        </w:trPr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906" w:type="dxa"/>
            <w:vMerge w:val="continue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875" w:type="dxa"/>
            <w:vMerge w:val="restart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193" w:type="dxa"/>
            <w:vMerge w:val="continue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center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528" w:type="dxa"/>
            <w:vMerge w:val="continue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center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247" w:type="dxa"/>
            <w:vMerge w:val="restart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center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251" w:type="dxa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827" w:type="dxa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cantSplit/>
          <w:trHeight w:val="279"/>
        </w:trPr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984" w:type="dxa"/>
            <w:vMerge w:val="continue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906" w:type="dxa"/>
            <w:vMerge w:val="continue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875" w:type="dxa"/>
            <w:vMerge w:val="continue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193" w:type="dxa"/>
            <w:vMerge w:val="continue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center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528" w:type="dxa"/>
            <w:vMerge w:val="continue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center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247" w:type="dxa"/>
            <w:vMerge w:val="continue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center"/>
              <w:spacing w:before="0" w:after="0" w:line="276" w:lineRule="auto"/>
              <w:widowControl w:val="off"/>
            </w:pPr>
            <w:r/>
            <w:r/>
            <w:r/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251" w:type="dxa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827" w:type="dxa"/>
            <w:textDirection w:val="lrTb"/>
            <w:noWrap w:val="false"/>
          </w:tcPr>
          <w:p>
            <w:pPr>
              <w:pStyle w:val="684"/>
              <w:contextualSpacing/>
              <w:ind w:right="113" w:firstLine="720"/>
              <w:jc w:val="both"/>
              <w:spacing w:before="0" w:after="0" w:line="276" w:lineRule="auto"/>
              <w:widowControl w:val="o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pStyle w:val="684"/>
        <w:jc w:val="both"/>
        <w:spacing w:line="276" w:lineRule="auto"/>
        <w:widowControl w:val="off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jc w:val="both"/>
        <w:spacing w:line="276" w:lineRule="auto"/>
        <w:rPr>
          <w:szCs w:val="28"/>
        </w:rPr>
      </w:pPr>
      <w:r>
        <w:rPr>
          <w:szCs w:val="28"/>
        </w:rPr>
      </w:r>
    </w:p>
    <w:p>
      <w:pPr>
        <w:jc w:val="right"/>
        <w:tabs>
          <w:tab w:val="left" w:pos="7350" w:leader="none"/>
        </w:tabs>
      </w:pPr>
      <w:r>
        <w:t xml:space="preserve"> </w:t>
      </w:r>
      <w:r/>
    </w:p>
    <w:sectPr>
      <w:footerReference w:type="default" r:id="rId9"/>
      <w:footnotePr/>
      <w:endnotePr/>
      <w:type w:val="nextPage"/>
      <w:pgSz w:w="16840" w:h="11907" w:orient="landscape"/>
      <w:pgMar w:top="1701" w:right="1134" w:bottom="850" w:left="1134" w:header="709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imesNewRomanPSMT">
    <w:panose1 w:val="02000603000000000000"/>
  </w:font>
  <w:font w:name="Droid Sans">
    <w:panose1 w:val="020B0606030804020204"/>
  </w:font>
  <w:font w:name="Times New Roman">
    <w:panose1 w:val="02020603050405020304"/>
  </w:font>
  <w:font w:name="Courier New">
    <w:panose1 w:val="02070409020205020404"/>
  </w:font>
  <w:font w:name="Tahoma">
    <w:panose1 w:val="020B0606040504020204"/>
  </w:font>
  <w:font w:name="Arial">
    <w:panose1 w:val="020B06040202020202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6"/>
      <w:rPr>
        <w:sz w:val="24"/>
      </w:rPr>
    </w:pPr>
    <w:r>
      <w:rPr>
        <w:sz w:val="24"/>
      </w:rPr>
      <w:tab/>
    </w:r>
    <w:r>
      <w:rPr>
        <w:sz w:val="24"/>
      </w:rPr>
    </w:r>
  </w:p>
  <w:p>
    <w:pPr>
      <w:pStyle w:val="696"/>
      <w:jc w:val="right"/>
      <w:rPr>
        <w:sz w:val="16"/>
      </w:rPr>
    </w:pP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  <w:tabs>
          <w:tab w:val="num" w:pos="612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3">
    <w:multiLevelType w:val="hybridMultilevel"/>
    <w:lvl w:ilvl="0">
      <w:start w:val="1"/>
      <w:numFmt w:val="decimal"/>
      <w:isLgl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lowerLetter"/>
      <w:isLgl/>
      <w:suff w:val="tab"/>
      <w:lvlText w:val="%2."/>
      <w:lvlJc w:val="left"/>
      <w:pPr>
        <w:ind w:left="1080" w:hanging="360"/>
        <w:tabs>
          <w:tab w:val="num" w:pos="0" w:leader="none"/>
        </w:tabs>
      </w:pPr>
    </w:lvl>
    <w:lvl w:ilvl="2">
      <w:start w:val="1"/>
      <w:numFmt w:val="lowerRoman"/>
      <w:isLgl/>
      <w:suff w:val="tab"/>
      <w:lvlText w:val="%3."/>
      <w:lvlJc w:val="right"/>
      <w:pPr>
        <w:ind w:left="1800" w:hanging="180"/>
        <w:tabs>
          <w:tab w:val="num" w:pos="0" w:leader="none"/>
        </w:tabs>
      </w:pPr>
    </w:lvl>
    <w:lvl w:ilvl="3">
      <w:start w:val="1"/>
      <w:numFmt w:val="decimal"/>
      <w:isLgl/>
      <w:suff w:val="tab"/>
      <w:lvlText w:val="%4."/>
      <w:lvlJc w:val="left"/>
      <w:pPr>
        <w:ind w:left="2520" w:hanging="360"/>
        <w:tabs>
          <w:tab w:val="num" w:pos="0" w:leader="none"/>
        </w:tabs>
      </w:pPr>
    </w:lvl>
    <w:lvl w:ilvl="4">
      <w:start w:val="1"/>
      <w:numFmt w:val="lowerLetter"/>
      <w:isLgl/>
      <w:suff w:val="tab"/>
      <w:lvlText w:val="%5."/>
      <w:lvlJc w:val="left"/>
      <w:pPr>
        <w:ind w:left="3240" w:hanging="360"/>
        <w:tabs>
          <w:tab w:val="num" w:pos="0" w:leader="none"/>
        </w:tabs>
      </w:pPr>
    </w:lvl>
    <w:lvl w:ilvl="5">
      <w:start w:val="1"/>
      <w:numFmt w:val="lowerRoman"/>
      <w:isLgl/>
      <w:suff w:val="tab"/>
      <w:lvlText w:val="%6."/>
      <w:lvlJc w:val="right"/>
      <w:pPr>
        <w:ind w:left="3960" w:hanging="180"/>
        <w:tabs>
          <w:tab w:val="num" w:pos="0" w:leader="none"/>
        </w:tabs>
      </w:pPr>
    </w:lvl>
    <w:lvl w:ilvl="6">
      <w:start w:val="1"/>
      <w:numFmt w:val="decimal"/>
      <w:isLgl/>
      <w:suff w:val="tab"/>
      <w:lvlText w:val="%7."/>
      <w:lvlJc w:val="left"/>
      <w:pPr>
        <w:ind w:left="4680" w:hanging="360"/>
        <w:tabs>
          <w:tab w:val="num" w:pos="0" w:leader="none"/>
        </w:tabs>
      </w:pPr>
    </w:lvl>
    <w:lvl w:ilvl="7">
      <w:start w:val="1"/>
      <w:numFmt w:val="lowerLetter"/>
      <w:isLgl/>
      <w:suff w:val="tab"/>
      <w:lvlText w:val="%8."/>
      <w:lvlJc w:val="left"/>
      <w:pPr>
        <w:ind w:left="5400" w:hanging="360"/>
        <w:tabs>
          <w:tab w:val="num" w:pos="0" w:leader="none"/>
        </w:tabs>
      </w:pPr>
    </w:lvl>
    <w:lvl w:ilvl="8">
      <w:start w:val="1"/>
      <w:numFmt w:val="lowerRoman"/>
      <w:isLgl/>
      <w:suff w:val="tab"/>
      <w:lvlText w:val="%9."/>
      <w:lvlJc w:val="right"/>
      <w:pPr>
        <w:ind w:left="6120" w:hanging="180"/>
        <w:tabs>
          <w:tab w:val="num" w:pos="0" w:leader="none"/>
        </w:tabs>
      </w:pPr>
    </w:lvl>
  </w:abstractNum>
  <w:abstractNum w:abstractNumId="4">
    <w:multiLevelType w:val="hybridMultilevel"/>
    <w:lvl w:ilvl="0">
      <w:start w:val="1"/>
      <w:numFmt w:val="bullet"/>
      <w:isLgl/>
      <w:suff w:val="tab"/>
      <w:lvlText w:val="–"/>
      <w:lvlJc w:val="left"/>
      <w:pPr>
        <w:ind w:left="720" w:hanging="360"/>
        <w:tabs>
          <w:tab w:val="num" w:pos="0" w:leader="none"/>
        </w:tabs>
      </w:pPr>
      <w:rPr>
        <w:rFonts w:hint="default" w:ascii="Arial" w:hAnsi="Arial" w:cs="Arial"/>
      </w:rPr>
    </w:lvl>
    <w:lvl w:ilvl="1">
      <w:start w:val="1"/>
      <w:numFmt w:val="bullet"/>
      <w:isLgl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/>
      <w:suff w:val="tab"/>
      <w:lvlText w:val="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/>
      <w:suff w:val="tab"/>
      <w:lvlText w:val="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/>
      <w:suff w:val="tab"/>
      <w:lvlText w:val="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/>
      <w:suff w:val="tab"/>
      <w:lvlText w:val="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/>
      <w:suff w:val="tab"/>
      <w:lvlText w:val="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5">
    <w:multiLevelType w:val="hybridMultilevel"/>
    <w:lvl w:ilvl="0">
      <w:start w:val="1"/>
      <w:numFmt w:val="bullet"/>
      <w:isLgl/>
      <w:suff w:val="tab"/>
      <w:lvlText w:val="–"/>
      <w:lvlJc w:val="left"/>
      <w:pPr>
        <w:ind w:left="720" w:hanging="360"/>
        <w:tabs>
          <w:tab w:val="num" w:pos="0" w:leader="none"/>
        </w:tabs>
      </w:pPr>
      <w:rPr>
        <w:rFonts w:hint="default" w:ascii="Arial" w:hAnsi="Arial" w:cs="Arial"/>
      </w:rPr>
    </w:lvl>
    <w:lvl w:ilvl="1">
      <w:start w:val="1"/>
      <w:numFmt w:val="bullet"/>
      <w:isLgl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/>
      <w:suff w:val="tab"/>
      <w:lvlText w:val="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/>
      <w:suff w:val="tab"/>
      <w:lvlText w:val="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/>
      <w:suff w:val="tab"/>
      <w:lvlText w:val="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/>
      <w:suff w:val="tab"/>
      <w:lvlText w:val="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/>
      <w:suff w:val="tab"/>
      <w:lvlText w:val="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55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227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99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71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3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15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7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9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319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2268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298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70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442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514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86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658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730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8028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92"/>
    <w:link w:val="68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92"/>
    <w:link w:val="686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92"/>
    <w:link w:val="68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92"/>
    <w:link w:val="68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92"/>
    <w:link w:val="68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92"/>
    <w:link w:val="69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84"/>
    <w:next w:val="684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9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692"/>
    <w:link w:val="69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84"/>
    <w:next w:val="684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9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84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character" w:styleId="36">
    <w:name w:val="Title Char"/>
    <w:basedOn w:val="692"/>
    <w:link w:val="697"/>
    <w:uiPriority w:val="10"/>
    <w:rPr>
      <w:sz w:val="48"/>
      <w:szCs w:val="48"/>
    </w:rPr>
  </w:style>
  <w:style w:type="paragraph" w:styleId="37">
    <w:name w:val="Subtitle"/>
    <w:basedOn w:val="684"/>
    <w:next w:val="684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92"/>
    <w:link w:val="37"/>
    <w:uiPriority w:val="11"/>
    <w:rPr>
      <w:sz w:val="24"/>
      <w:szCs w:val="24"/>
    </w:rPr>
  </w:style>
  <w:style w:type="paragraph" w:styleId="39">
    <w:name w:val="Quote"/>
    <w:basedOn w:val="684"/>
    <w:next w:val="684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84"/>
    <w:next w:val="684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692"/>
    <w:link w:val="695"/>
    <w:uiPriority w:val="99"/>
  </w:style>
  <w:style w:type="character" w:styleId="46">
    <w:name w:val="Footer Char"/>
    <w:basedOn w:val="692"/>
    <w:link w:val="696"/>
    <w:uiPriority w:val="99"/>
  </w:style>
  <w:style w:type="paragraph" w:styleId="47">
    <w:name w:val="Caption"/>
    <w:basedOn w:val="684"/>
    <w:next w:val="684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9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9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9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9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9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84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92"/>
    <w:uiPriority w:val="99"/>
    <w:unhideWhenUsed/>
    <w:rPr>
      <w:vertAlign w:val="superscript"/>
    </w:rPr>
  </w:style>
  <w:style w:type="paragraph" w:styleId="179">
    <w:name w:val="endnote text"/>
    <w:basedOn w:val="684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92"/>
    <w:uiPriority w:val="99"/>
    <w:semiHidden/>
    <w:unhideWhenUsed/>
    <w:rPr>
      <w:vertAlign w:val="superscript"/>
    </w:rPr>
  </w:style>
  <w:style w:type="paragraph" w:styleId="182">
    <w:name w:val="toc 1"/>
    <w:basedOn w:val="684"/>
    <w:next w:val="684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84"/>
    <w:next w:val="684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84"/>
    <w:next w:val="684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84"/>
    <w:next w:val="684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84"/>
    <w:next w:val="684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84"/>
    <w:next w:val="684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84"/>
    <w:next w:val="684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84"/>
    <w:next w:val="684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84"/>
    <w:next w:val="684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84"/>
    <w:next w:val="684"/>
    <w:uiPriority w:val="99"/>
    <w:unhideWhenUsed/>
    <w:pPr>
      <w:spacing w:after="0" w:afterAutospacing="0"/>
    </w:pPr>
  </w:style>
  <w:style w:type="paragraph" w:styleId="684" w:default="1">
    <w:name w:val="Normal"/>
    <w:qFormat/>
  </w:style>
  <w:style w:type="paragraph" w:styleId="685">
    <w:name w:val="Heading 1"/>
    <w:basedOn w:val="684"/>
    <w:next w:val="684"/>
    <w:qFormat/>
    <w:pPr>
      <w:ind w:firstLine="720"/>
      <w:jc w:val="center"/>
      <w:keepNext/>
      <w:outlineLvl w:val="0"/>
    </w:pPr>
    <w:rPr>
      <w:b/>
      <w:bCs/>
      <w:sz w:val="24"/>
      <w:szCs w:val="24"/>
    </w:rPr>
  </w:style>
  <w:style w:type="paragraph" w:styleId="686">
    <w:name w:val="Heading 2"/>
    <w:basedOn w:val="684"/>
    <w:next w:val="684"/>
    <w:qFormat/>
    <w:pPr>
      <w:ind w:firstLine="868"/>
      <w:keepNext/>
      <w:outlineLvl w:val="1"/>
    </w:pPr>
    <w:rPr>
      <w:sz w:val="28"/>
    </w:rPr>
  </w:style>
  <w:style w:type="paragraph" w:styleId="687">
    <w:name w:val="Heading 3"/>
    <w:basedOn w:val="684"/>
    <w:next w:val="684"/>
    <w:qFormat/>
    <w:pPr>
      <w:jc w:val="center"/>
      <w:keepNext/>
      <w:outlineLvl w:val="2"/>
    </w:pPr>
    <w:rPr>
      <w:b/>
      <w:sz w:val="28"/>
      <w:szCs w:val="24"/>
    </w:rPr>
  </w:style>
  <w:style w:type="paragraph" w:styleId="688">
    <w:name w:val="Heading 4"/>
    <w:basedOn w:val="684"/>
    <w:next w:val="684"/>
    <w:qFormat/>
    <w:pPr>
      <w:keepNext/>
      <w:outlineLvl w:val="3"/>
    </w:pPr>
    <w:rPr>
      <w:sz w:val="28"/>
    </w:rPr>
  </w:style>
  <w:style w:type="paragraph" w:styleId="689">
    <w:name w:val="Heading 5"/>
    <w:basedOn w:val="684"/>
    <w:next w:val="684"/>
    <w:qFormat/>
    <w:pPr>
      <w:jc w:val="right"/>
      <w:keepNext/>
      <w:outlineLvl w:val="4"/>
    </w:pPr>
    <w:rPr>
      <w:sz w:val="28"/>
    </w:rPr>
  </w:style>
  <w:style w:type="paragraph" w:styleId="690">
    <w:name w:val="Heading 6"/>
    <w:basedOn w:val="684"/>
    <w:next w:val="684"/>
    <w:qFormat/>
    <w:pPr>
      <w:ind w:firstLine="851"/>
      <w:keepNext/>
      <w:outlineLvl w:val="5"/>
    </w:pPr>
    <w:rPr>
      <w:sz w:val="28"/>
    </w:rPr>
  </w:style>
  <w:style w:type="paragraph" w:styleId="691">
    <w:name w:val="Heading 8"/>
    <w:basedOn w:val="684"/>
    <w:next w:val="684"/>
    <w:qFormat/>
    <w:pPr>
      <w:jc w:val="center"/>
      <w:keepNext/>
      <w:outlineLvl w:val="7"/>
    </w:pPr>
    <w:rPr>
      <w:sz w:val="28"/>
      <w:szCs w:val="24"/>
    </w:rPr>
  </w:style>
  <w:style w:type="character" w:styleId="692" w:default="1">
    <w:name w:val="Default Paragraph Font"/>
    <w:uiPriority w:val="1"/>
    <w:semiHidden/>
    <w:unhideWhenUsed/>
  </w:style>
  <w:style w:type="table" w:styleId="693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4" w:default="1">
    <w:name w:val="No List"/>
    <w:uiPriority w:val="99"/>
    <w:semiHidden/>
    <w:unhideWhenUsed/>
  </w:style>
  <w:style w:type="paragraph" w:styleId="695">
    <w:name w:val="Header"/>
    <w:basedOn w:val="684"/>
    <w:link w:val="705"/>
    <w:uiPriority w:val="99"/>
    <w:pPr>
      <w:tabs>
        <w:tab w:val="center" w:pos="4677" w:leader="none"/>
        <w:tab w:val="right" w:pos="9355" w:leader="none"/>
      </w:tabs>
    </w:pPr>
  </w:style>
  <w:style w:type="paragraph" w:styleId="696">
    <w:name w:val="Footer"/>
    <w:basedOn w:val="684"/>
    <w:semiHidden/>
    <w:pPr>
      <w:tabs>
        <w:tab w:val="center" w:pos="4677" w:leader="none"/>
        <w:tab w:val="right" w:pos="9355" w:leader="none"/>
      </w:tabs>
    </w:pPr>
  </w:style>
  <w:style w:type="paragraph" w:styleId="697">
    <w:name w:val="Title"/>
    <w:basedOn w:val="684"/>
    <w:qFormat/>
    <w:pPr>
      <w:jc w:val="center"/>
    </w:pPr>
    <w:rPr>
      <w:b/>
      <w:sz w:val="28"/>
    </w:rPr>
  </w:style>
  <w:style w:type="paragraph" w:styleId="698">
    <w:name w:val="Body Text Indent"/>
    <w:basedOn w:val="684"/>
    <w:semiHidden/>
    <w:pPr>
      <w:ind w:firstLine="567"/>
      <w:jc w:val="both"/>
    </w:pPr>
    <w:rPr>
      <w:sz w:val="28"/>
    </w:rPr>
  </w:style>
  <w:style w:type="paragraph" w:styleId="699">
    <w:name w:val="Body Text Indent 2"/>
    <w:basedOn w:val="684"/>
    <w:semiHidden/>
    <w:pPr>
      <w:ind w:firstLine="567"/>
      <w:jc w:val="center"/>
    </w:pPr>
    <w:rPr>
      <w:b/>
      <w:bCs/>
      <w:sz w:val="28"/>
    </w:rPr>
  </w:style>
  <w:style w:type="paragraph" w:styleId="700">
    <w:name w:val="Body Text"/>
    <w:basedOn w:val="684"/>
    <w:semiHidden/>
    <w:pPr>
      <w:jc w:val="center"/>
    </w:pPr>
    <w:rPr>
      <w:b/>
      <w:sz w:val="32"/>
    </w:rPr>
  </w:style>
  <w:style w:type="paragraph" w:styleId="701" w:customStyle="1">
    <w:name w:val="ConsPlusNormal"/>
    <w:pPr>
      <w:widowControl w:val="off"/>
    </w:pPr>
    <w:rPr>
      <w:rFonts w:ascii="Arial" w:hAnsi="Arial" w:cs="Arial"/>
      <w:sz w:val="16"/>
      <w:szCs w:val="16"/>
    </w:rPr>
  </w:style>
  <w:style w:type="paragraph" w:styleId="702" w:customStyle="1">
    <w:name w:val="Стиль"/>
    <w:pPr>
      <w:widowControl w:val="off"/>
    </w:pPr>
    <w:rPr>
      <w:sz w:val="24"/>
      <w:szCs w:val="24"/>
    </w:rPr>
  </w:style>
  <w:style w:type="paragraph" w:styleId="703">
    <w:name w:val="Balloon Text"/>
    <w:basedOn w:val="684"/>
    <w:link w:val="704"/>
    <w:uiPriority w:val="99"/>
    <w:semiHidden/>
    <w:unhideWhenUsed/>
    <w:rPr>
      <w:rFonts w:ascii="Tahoma" w:hAnsi="Tahoma" w:cs="Tahoma"/>
      <w:sz w:val="16"/>
      <w:szCs w:val="16"/>
    </w:rPr>
  </w:style>
  <w:style w:type="character" w:styleId="704" w:customStyle="1">
    <w:name w:val="Текст выноски Знак"/>
    <w:basedOn w:val="692"/>
    <w:link w:val="703"/>
    <w:uiPriority w:val="99"/>
    <w:semiHidden/>
    <w:rPr>
      <w:rFonts w:ascii="Tahoma" w:hAnsi="Tahoma" w:cs="Tahoma"/>
      <w:sz w:val="16"/>
      <w:szCs w:val="16"/>
    </w:rPr>
  </w:style>
  <w:style w:type="character" w:styleId="705" w:customStyle="1">
    <w:name w:val="Верхний колонтитул Знак"/>
    <w:basedOn w:val="692"/>
    <w:link w:val="695"/>
    <w:uiPriority w:val="99"/>
    <w:qFormat/>
  </w:style>
  <w:style w:type="paragraph" w:styleId="1_746" w:customStyle="1">
    <w:name w:val="ConsPlusNonformat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_1749" w:customStyle="1">
    <w:name w:val="Содержимое врезки"/>
    <w:basedOn w:val="72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Droid Sans" w:cs="Droid Sans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0C982-3467-46B2-808B-B9940130F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Избирком Пензенской области</Company>
  <DocSecurity>0</DocSecurity>
  <HyperlinksChanged>false</HyperlinksChanged>
  <LinksUpToDate>false</LinksUpToDate>
  <ScaleCrop>false</ScaleCrop>
  <SharedDoc>false</SharedDoc>
  <Template>ПОСТАНОВЛЕНИЕ.dot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user</cp:lastModifiedBy>
  <cp:revision>6</cp:revision>
  <dcterms:created xsi:type="dcterms:W3CDTF">2021-08-09T10:19:00Z</dcterms:created>
  <dcterms:modified xsi:type="dcterms:W3CDTF">2026-07-27T13:20:32Z</dcterms:modified>
</cp:coreProperties>
</file>