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4"/>
      </w:pPr>
      <w:r/>
      <w:r/>
    </w:p>
    <w:p>
      <w:pPr>
        <w:pStyle w:val="994"/>
      </w:pPr>
      <w:r>
        <w:t xml:space="preserve">ТЕРРИТОРИАЛЬНАЯ ИЗБИРАТЕЛЬНАЯ КОМИССИЯ </w:t>
      </w:r>
      <w:r/>
    </w:p>
    <w:p>
      <w:pPr>
        <w:pStyle w:val="994"/>
      </w:pPr>
      <w:r>
        <w:t xml:space="preserve"> МАЛОСЕРДОБИНСКОГО РАЙОНА ПЕНЗЕНСКОЙ ОБЛАСТИ</w:t>
      </w:r>
      <w:r/>
    </w:p>
    <w:p>
      <w:pPr>
        <w:pStyle w:val="979"/>
        <w:ind w:firstLine="709"/>
      </w:pPr>
      <w:r/>
      <w:r/>
    </w:p>
    <w:p>
      <w:pPr>
        <w:pStyle w:val="97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ПОСТАНОВЛЕНИЕ</w:t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pStyle w:val="97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tbl>
      <w:tblPr>
        <w:tblW w:w="9505" w:type="dxa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847"/>
        <w:gridCol w:w="2492"/>
      </w:tblGrid>
      <w:tr>
        <w:tblPrEx/>
        <w:trPr/>
        <w:tc>
          <w:tcPr>
            <w:tcBorders>
              <w:bottom w:val="single" w:color="000000" w:sz="6" w:space="0"/>
            </w:tcBorders>
            <w:tcW w:w="2905" w:type="dxa"/>
            <w:vAlign w:val="top"/>
            <w:textDirection w:val="lrTb"/>
            <w:noWrap w:val="false"/>
          </w:tcPr>
          <w:p>
            <w:pPr>
              <w:pStyle w:val="979"/>
              <w:jc w:val="center"/>
              <w:tabs>
                <w:tab w:val="left" w:pos="2835" w:leader="none"/>
                <w:tab w:val="left" w:pos="6237" w:leader="none"/>
              </w:tabs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 xml:space="preserve">22.0</w:t>
            </w:r>
            <w:r>
              <w:rPr>
                <w:color w:val="ff0000"/>
                <w:sz w:val="28"/>
              </w:rPr>
              <w:t xml:space="preserve">6</w:t>
            </w:r>
            <w:r>
              <w:rPr>
                <w:color w:val="ff0000"/>
                <w:sz w:val="28"/>
              </w:rPr>
              <w:t xml:space="preserve">.2026</w:t>
            </w:r>
            <w:r>
              <w:rPr>
                <w:color w:val="ff0000"/>
                <w:sz w:val="28"/>
              </w:rPr>
            </w:r>
            <w:r>
              <w:rPr>
                <w:color w:val="ff0000"/>
                <w:sz w:val="28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979"/>
              <w:ind w:firstLine="709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979"/>
              <w:ind w:firstLine="709"/>
              <w:jc w:val="right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49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№ 9/24</w:t>
            </w:r>
            <w:r/>
          </w:p>
        </w:tc>
      </w:tr>
    </w:tbl>
    <w:p>
      <w:pPr>
        <w:pStyle w:val="979"/>
        <w:jc w:val="center"/>
        <w:tabs>
          <w:tab w:val="left" w:pos="2835" w:leader="none"/>
          <w:tab w:val="left" w:pos="6237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79"/>
        <w:jc w:val="center"/>
        <w:tabs>
          <w:tab w:val="left" w:pos="2835" w:leader="none"/>
          <w:tab w:val="left" w:pos="6237" w:leader="none"/>
        </w:tabs>
        <w:rPr>
          <w:b/>
        </w:rPr>
      </w:pPr>
      <w:r>
        <w:rPr>
          <w:b/>
        </w:rPr>
        <w:t xml:space="preserve">с</w:t>
      </w:r>
      <w:r>
        <w:rPr>
          <w:b/>
        </w:rPr>
        <w:t xml:space="preserve">. Малая Сердоба</w:t>
      </w:r>
      <w:r>
        <w:rPr>
          <w:b/>
        </w:rPr>
      </w:r>
      <w:r>
        <w:rPr>
          <w:b/>
        </w:rPr>
      </w:r>
    </w:p>
    <w:p>
      <w:pPr>
        <w:pStyle w:val="979"/>
        <w:jc w:val="center"/>
        <w:tabs>
          <w:tab w:val="left" w:pos="2835" w:leader="none"/>
          <w:tab w:val="left" w:pos="6237" w:leader="none"/>
        </w:tabs>
      </w:pPr>
      <w:r/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порядке открытия, ведения и закрытия специальных </w:t>
      </w:r>
      <w:r>
        <w:rPr>
          <w:b/>
          <w:bCs/>
          <w:sz w:val="28"/>
          <w:szCs w:val="28"/>
        </w:rPr>
        <w:t xml:space="preserve">избирательных </w:t>
      </w:r>
      <w:r>
        <w:rPr>
          <w:b/>
          <w:bCs/>
          <w:sz w:val="28"/>
          <w:szCs w:val="28"/>
        </w:rPr>
        <w:t xml:space="preserve">счетов избирательн</w:t>
      </w:r>
      <w:r>
        <w:rPr>
          <w:b/>
          <w:bCs/>
          <w:sz w:val="28"/>
          <w:szCs w:val="28"/>
        </w:rPr>
        <w:t xml:space="preserve">ых</w:t>
      </w:r>
      <w:r>
        <w:rPr>
          <w:b/>
          <w:bCs/>
          <w:sz w:val="28"/>
          <w:szCs w:val="28"/>
        </w:rPr>
        <w:t xml:space="preserve"> фонд</w:t>
      </w:r>
      <w:r>
        <w:rPr>
          <w:b/>
          <w:bCs/>
          <w:sz w:val="28"/>
          <w:szCs w:val="28"/>
        </w:rPr>
        <w:t xml:space="preserve">ов</w:t>
      </w:r>
      <w:r>
        <w:rPr>
          <w:b/>
          <w:bCs/>
          <w:sz w:val="28"/>
          <w:szCs w:val="28"/>
        </w:rPr>
        <w:t xml:space="preserve"> кандидат</w:t>
      </w:r>
      <w:r>
        <w:rPr>
          <w:b/>
          <w:bCs/>
          <w:sz w:val="28"/>
          <w:szCs w:val="28"/>
        </w:rPr>
        <w:t xml:space="preserve">ов</w:t>
      </w:r>
      <w:r>
        <w:rPr>
          <w:b/>
          <w:bCs/>
          <w:sz w:val="28"/>
          <w:szCs w:val="28"/>
        </w:rPr>
        <w:t xml:space="preserve">, избирательн</w:t>
      </w:r>
      <w:r>
        <w:rPr>
          <w:b/>
          <w:bCs/>
          <w:sz w:val="28"/>
          <w:szCs w:val="28"/>
        </w:rPr>
        <w:t xml:space="preserve">ых</w:t>
      </w:r>
      <w:r>
        <w:rPr>
          <w:b/>
          <w:bCs/>
          <w:sz w:val="28"/>
          <w:szCs w:val="28"/>
        </w:rPr>
        <w:t xml:space="preserve"> объединени</w:t>
      </w:r>
      <w:r>
        <w:rPr>
          <w:b/>
          <w:bCs/>
          <w:sz w:val="28"/>
          <w:szCs w:val="28"/>
        </w:rPr>
        <w:t xml:space="preserve">й</w:t>
      </w:r>
      <w:r>
        <w:rPr>
          <w:b/>
          <w:bCs/>
          <w:sz w:val="28"/>
          <w:szCs w:val="28"/>
        </w:rPr>
        <w:t xml:space="preserve"> при проведении </w:t>
      </w:r>
      <w:r>
        <w:rPr>
          <w:b/>
          <w:bCs/>
          <w:sz w:val="28"/>
          <w:szCs w:val="28"/>
          <w:lang w:val="ru-RU"/>
        </w:rPr>
        <w:t xml:space="preserve">дополнительных </w:t>
      </w:r>
      <w:r>
        <w:rPr>
          <w:b/>
          <w:bCs/>
          <w:sz w:val="28"/>
          <w:szCs w:val="28"/>
        </w:rPr>
        <w:t xml:space="preserve">выборов </w:t>
      </w:r>
      <w:r>
        <w:rPr>
          <w:b/>
          <w:bCs/>
          <w:sz w:val="28"/>
          <w:szCs w:val="28"/>
        </w:rPr>
        <w:t xml:space="preserve">депутатов </w:t>
      </w:r>
      <w:r>
        <w:rPr>
          <w:b/>
          <w:bCs/>
          <w:sz w:val="28"/>
          <w:szCs w:val="28"/>
        </w:rPr>
        <w:t xml:space="preserve">Комитета местного самоуправления сельского поселения Малосердобинского сельсовета Муниципального района Малосердобинского района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Пензенской области четвертого</w:t>
      </w:r>
      <w:r>
        <w:rPr>
          <w:b/>
          <w:bCs/>
          <w:sz w:val="28"/>
          <w:szCs w:val="28"/>
        </w:rPr>
        <w:t xml:space="preserve"> созыва </w:t>
      </w:r>
      <w:r>
        <w:rPr>
          <w:b/>
          <w:bCs/>
          <w:sz w:val="28"/>
          <w:szCs w:val="28"/>
        </w:rPr>
      </w:r>
      <w:r/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по одномандатным избирательным округам № № 1, 6</w:t>
      </w:r>
      <w:r>
        <w:rPr>
          <w:b/>
          <w:bCs/>
          <w:sz w:val="28"/>
          <w:szCs w:val="28"/>
        </w:rPr>
      </w:r>
      <w:r/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12 статьи 58 </w:t>
      </w:r>
      <w:r>
        <w:rPr>
          <w:sz w:val="28"/>
          <w:szCs w:val="28"/>
        </w:rPr>
        <w:t xml:space="preserve">Федерального закона от 12 июня 2002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8"/>
          <w:szCs w:val="28"/>
        </w:rPr>
        <w:t xml:space="preserve"> (с последующими изменениями), </w:t>
      </w:r>
      <w:r>
        <w:rPr>
          <w:sz w:val="28"/>
          <w:szCs w:val="28"/>
        </w:rPr>
        <w:t xml:space="preserve"> </w:t>
      </w:r>
      <w:hyperlink r:id="rId11" w:tooltip="Закон Пензенской обл. от 26.02.2006 N 976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&quot; (принят ЗС Пензенской обл. 17.02.2006) ------------ Утратил" w:history="1">
        <w:r>
          <w:rPr>
            <w:color w:val="0000ff"/>
            <w:sz w:val="28"/>
            <w:szCs w:val="28"/>
          </w:rPr>
          <w:t xml:space="preserve">частью 17 статьи 56</w:t>
        </w:r>
      </w:hyperlink>
      <w:r>
        <w:rPr>
          <w:sz w:val="28"/>
          <w:szCs w:val="28"/>
        </w:rPr>
        <w:t xml:space="preserve"> Закона Пензенской области от 19 декабря 2025 года № 4708-ЗПО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jc w:val="center"/>
        <w:spacing w:before="240" w:after="240" w:line="336" w:lineRule="auto"/>
        <w:rPr>
          <w:sz w:val="28"/>
        </w:rPr>
      </w:pPr>
      <w:r>
        <w:rPr>
          <w:sz w:val="28"/>
        </w:rPr>
        <w:t xml:space="preserve">территориальная и</w:t>
      </w:r>
      <w:r>
        <w:rPr>
          <w:sz w:val="28"/>
        </w:rPr>
        <w:t xml:space="preserve">збирательная комиссия </w:t>
      </w:r>
      <w:r>
        <w:rPr>
          <w:b/>
          <w:sz w:val="28"/>
        </w:rPr>
        <w:t xml:space="preserve">постановляет</w:t>
      </w:r>
      <w:r>
        <w:rPr>
          <w:sz w:val="28"/>
        </w:rPr>
        <w:t xml:space="preserve">:</w:t>
      </w:r>
      <w:r>
        <w:rPr>
          <w:sz w:val="28"/>
        </w:rPr>
      </w:r>
      <w:r>
        <w:rPr>
          <w:sz w:val="28"/>
        </w:rPr>
      </w:r>
    </w:p>
    <w:p>
      <w:pPr>
        <w:pStyle w:val="979"/>
        <w:ind w:left="0" w:right="0" w:firstLine="708"/>
        <w:jc w:val="both"/>
        <w:spacing w:after="240" w:line="336" w:lineRule="auto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</w:rPr>
        <w:t xml:space="preserve">Установить</w:t>
      </w:r>
      <w:r>
        <w:rPr>
          <w:sz w:val="28"/>
        </w:rPr>
        <w:t xml:space="preserve"> порядок о</w:t>
      </w:r>
      <w:r>
        <w:rPr>
          <w:sz w:val="28"/>
          <w:szCs w:val="28"/>
        </w:rPr>
        <w:t xml:space="preserve">ткрытия, ведения и закрытия специальных избирательных счетов избирательных фондов ка</w:t>
      </w:r>
      <w:r>
        <w:rPr>
          <w:sz w:val="28"/>
          <w:szCs w:val="28"/>
        </w:rPr>
        <w:t xml:space="preserve">ндидатов, избирательных объединений при проведении дополнительных выборов депутатов Комитета местного самоуправления сельского поселения Малосердобинского сельсовета Муниципального района Малосердобинского района Пензенской области четвертого созыва по одномандатным избирательным округам № №1, 6 (</w:t>
      </w:r>
      <w:r>
        <w:rPr>
          <w:sz w:val="28"/>
        </w:rPr>
        <w:t xml:space="preserve">приложение № 1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8"/>
        <w:jc w:val="both"/>
        <w:spacing w:after="240" w:line="336" w:lineRule="auto"/>
        <w:rPr>
          <w:sz w:val="28"/>
          <w:szCs w:val="28"/>
        </w:rPr>
      </w:pPr>
      <w:r>
        <w:rPr>
          <w:sz w:val="28"/>
        </w:rPr>
        <w:t xml:space="preserve">2. Определить </w:t>
      </w:r>
      <w:r>
        <w:rPr>
          <w:sz w:val="28"/>
        </w:rPr>
        <w:t xml:space="preserve">формы учета и отчетности о поступлении средств избирательных фондов и расходования этих средств</w:t>
      </w:r>
      <w:r>
        <w:rPr>
          <w:sz w:val="28"/>
        </w:rPr>
        <w:t xml:space="preserve">,</w:t>
      </w:r>
      <w:r>
        <w:rPr>
          <w:sz w:val="28"/>
        </w:rPr>
        <w:t xml:space="preserve"> </w:t>
      </w:r>
      <w:r>
        <w:rPr>
          <w:sz w:val="28"/>
        </w:rPr>
        <w:t xml:space="preserve">при проведении </w:t>
      </w:r>
      <w:r>
        <w:rPr>
          <w:sz w:val="28"/>
        </w:rPr>
        <w:t xml:space="preserve">дополнительных </w:t>
      </w:r>
      <w:r>
        <w:rPr>
          <w:sz w:val="28"/>
        </w:rPr>
        <w:t xml:space="preserve">выборов депутатов </w:t>
      </w:r>
      <w:r>
        <w:rPr>
          <w:sz w:val="28"/>
        </w:rPr>
        <w:t xml:space="preserve">Комитета местного самоуправления сельского поселения Малосердобинского сельсовета</w:t>
      </w:r>
      <w:r>
        <w:rPr>
          <w:sz w:val="28"/>
        </w:rPr>
        <w:t xml:space="preserve"> Муниципального района Малосердобинского района Пензенской области </w:t>
      </w:r>
      <w:r>
        <w:rPr>
          <w:sz w:val="28"/>
        </w:rPr>
        <w:t xml:space="preserve">четвертого</w:t>
      </w:r>
      <w:r>
        <w:rPr>
          <w:sz w:val="28"/>
        </w:rPr>
        <w:t xml:space="preserve"> созыва</w:t>
      </w:r>
      <w:r>
        <w:rPr>
          <w:sz w:val="28"/>
        </w:rPr>
        <w:t xml:space="preserve"> по одномандатным избирательным округам №1 и №6</w:t>
      </w:r>
      <w:r>
        <w:rPr>
          <w:sz w:val="28"/>
        </w:rPr>
        <w:t xml:space="preserve"> (приложения к порядку №№ 1-2, приложение к постановлению №2</w:t>
      </w:r>
      <w:r>
        <w:rPr>
          <w:sz w:val="28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firstLine="709"/>
        <w:jc w:val="both"/>
        <w:spacing w:line="336" w:lineRule="auto"/>
        <w:rPr>
          <w:bCs/>
          <w:sz w:val="28"/>
        </w:rPr>
      </w:pPr>
      <w:r>
        <w:rPr>
          <w:bCs/>
          <w:sz w:val="28"/>
        </w:rPr>
      </w:r>
      <w:r>
        <w:rPr>
          <w:bCs/>
          <w:sz w:val="28"/>
        </w:rPr>
      </w:r>
      <w:r>
        <w:rPr>
          <w:bCs/>
          <w:sz w:val="28"/>
        </w:rPr>
      </w:r>
    </w:p>
    <w:p>
      <w:pPr>
        <w:pStyle w:val="979"/>
        <w:ind w:firstLine="709"/>
        <w:jc w:val="both"/>
        <w:spacing w:line="336" w:lineRule="auto"/>
        <w:rPr>
          <w:bCs/>
          <w:sz w:val="28"/>
        </w:rPr>
      </w:pPr>
      <w:r>
        <w:rPr>
          <w:bCs/>
          <w:sz w:val="28"/>
        </w:rPr>
      </w:r>
      <w:r>
        <w:rPr>
          <w:bCs/>
          <w:sz w:val="28"/>
        </w:rPr>
      </w:r>
      <w:r>
        <w:rPr>
          <w:bCs/>
          <w:sz w:val="28"/>
        </w:rPr>
      </w:r>
    </w:p>
    <w:p>
      <w:pPr>
        <w:pStyle w:val="979"/>
        <w:ind w:firstLine="709"/>
        <w:jc w:val="both"/>
        <w:spacing w:line="336" w:lineRule="auto"/>
        <w:rPr>
          <w:bCs/>
          <w:sz w:val="28"/>
        </w:rPr>
      </w:pPr>
      <w:r>
        <w:rPr>
          <w:bCs/>
          <w:sz w:val="28"/>
        </w:rPr>
      </w:r>
      <w:r>
        <w:rPr>
          <w:bCs/>
          <w:sz w:val="28"/>
        </w:rPr>
      </w:r>
      <w:r>
        <w:rPr>
          <w:bCs/>
          <w:sz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9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04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04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046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9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04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046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79"/>
        <w:ind w:firstLine="709"/>
        <w:jc w:val="both"/>
      </w:pPr>
      <w:r/>
      <w:r/>
    </w:p>
    <w:p>
      <w:pPr>
        <w:pStyle w:val="996"/>
        <w:ind w:firstLine="0"/>
        <w:spacing w:before="600"/>
      </w:pPr>
      <w:r/>
      <w:r/>
    </w:p>
    <w:p>
      <w:pPr>
        <w:pStyle w:val="996"/>
        <w:ind w:firstLine="0"/>
        <w:spacing w:before="600"/>
      </w:pPr>
      <w:r/>
      <w:r/>
    </w:p>
    <w:p>
      <w:pPr>
        <w:pStyle w:val="996"/>
        <w:ind w:firstLine="0"/>
        <w:spacing w:before="600"/>
      </w:pPr>
      <w:r/>
      <w:r/>
    </w:p>
    <w:p>
      <w:pPr>
        <w:pStyle w:val="996"/>
        <w:ind w:firstLine="0"/>
        <w:spacing w:before="600"/>
      </w:pPr>
      <w:r/>
      <w:r/>
    </w:p>
    <w:tbl>
      <w:tblPr>
        <w:tblW w:w="0" w:type="auto"/>
        <w:tblInd w:w="4077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3"/>
      </w:tblGrid>
      <w:tr>
        <w:tblPrEx/>
        <w:trPr>
          <w:trHeight w:val="166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3" w:type="dxa"/>
            <w:vAlign w:val="top"/>
            <w:textDirection w:val="lrTb"/>
            <w:noWrap w:val="false"/>
          </w:tcPr>
          <w:p>
            <w:pPr>
              <w:pStyle w:val="979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Приложение 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81"/>
              <w:ind w:firstLine="0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    </w:t>
            </w:r>
            <w:r>
              <w:rPr>
                <w:sz w:val="24"/>
                <w:szCs w:val="24"/>
              </w:rPr>
              <w:t xml:space="preserve">к постановлению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979"/>
              <w:jc w:val="center"/>
              <w:widowControl w:val="off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территориальной избирательной комиссии Малосердобинского района Пензенской области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96"/>
              <w:ind w:firstLine="0"/>
              <w:rPr>
                <w:color w:val="ff0000"/>
              </w:rPr>
            </w:pPr>
            <w:r>
              <w:rPr>
                <w:b w:val="0"/>
                <w:bCs w:val="0"/>
                <w:sz w:val="22"/>
                <w:szCs w:val="22"/>
                <w:u w:val="single"/>
                <w:lang w:val="ru-RU" w:eastAsia="ru-RU"/>
              </w:rPr>
              <w:t xml:space="preserve">от </w:t>
            </w:r>
            <w:r>
              <w:rPr>
                <w:b w:val="0"/>
                <w:bCs w:val="0"/>
                <w:color w:val="ff0000"/>
                <w:sz w:val="22"/>
                <w:szCs w:val="22"/>
                <w:u w:val="single"/>
                <w:lang w:val="ru-RU" w:eastAsia="ru-RU"/>
              </w:rPr>
              <w:t xml:space="preserve">22.06.2026 г. № 9/24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835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>
          <w:trHeight w:val="284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Утвержден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Избирательной комиссии Пензенской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sz w:val="28"/>
                <w:szCs w:val="28"/>
              </w:rPr>
              <w:t xml:space="preserve"> 20 марта 2026 года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99/699-7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Управляющий Отделением по Пензенской области Волго-Вятского главного управления Центрального банка Российской Федерации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А.В. </w:t>
            </w:r>
            <w:r>
              <w:rPr>
                <w:sz w:val="28"/>
                <w:szCs w:val="28"/>
              </w:rPr>
              <w:t xml:space="preserve">Хлобыстов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</w:pPr>
            <w:r>
              <w:rPr>
                <w:sz w:val="28"/>
                <w:szCs w:val="28"/>
              </w:rPr>
              <w:t xml:space="preserve">     от 10</w:t>
            </w:r>
            <w:bookmarkStart w:id="0" w:name="undefined"/>
            <w:r/>
            <w:bookmarkEnd w:id="0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марта</w:t>
            </w:r>
            <w:r>
              <w:rPr>
                <w:sz w:val="28"/>
                <w:szCs w:val="28"/>
              </w:rPr>
              <w:t xml:space="preserve"> 2026 года</w:t>
            </w:r>
            <w:r>
              <w:rPr>
                <w:sz w:val="28"/>
                <w:szCs w:val="28"/>
              </w:rPr>
              <w:t xml:space="preserve">  №Т456-4/609</w:t>
            </w:r>
            <w:r/>
          </w:p>
        </w:tc>
      </w:tr>
    </w:tbl>
    <w:p>
      <w:pPr>
        <w:jc w:val="both"/>
      </w:pPr>
      <w:r/>
      <w:r/>
    </w:p>
    <w:p>
      <w:pPr>
        <w:jc w:val="center"/>
        <w:rPr>
          <w:rFonts w:ascii="Times New Roman" w:hAnsi="Times New Roman" w:cs="Times New Roman"/>
          <w:b w:val="0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Порядок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открытия, ведения и закрытия специаль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ных избирательных счетов избирательных фондов кандидатов, избирательных объединений при проведении дополнительных выборов депутатов Комитета местного самоуправления сельского поселения Малосердобинского сельсовета Муниципального района Малосердобинского района Пензенской области четвертого созыва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 одномандатным избирательным округам №1 и №6.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</w:pPr>
      <w:r/>
      <w:r/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</w:t>
      </w:r>
      <w:r>
        <w:rPr>
          <w:sz w:val="28"/>
          <w:szCs w:val="28"/>
        </w:rPr>
        <w:t xml:space="preserve">док открытия, ведения и закрытия специальных избирательных счетов кандидатов, избирательных объединений при проведении выборов депутатов представительного органа муниципального образования в Пензенской области (далее — Порядок) разработан в соответствии с </w:t>
      </w:r>
      <w:hyperlink r:id="rId12" w:tooltip="Федеральный закон от 12.06.2002 N 67-ФЗ (ред. от 29.12.2025) &quot;Об основных гарантиях избирательных прав и права на участие в референдуме граждан Российской Федерации&quot; {КонсультантПлюс}" w:history="1">
        <w:r>
          <w:rPr>
            <w:color w:val="0000ff"/>
            <w:sz w:val="28"/>
            <w:szCs w:val="28"/>
          </w:rPr>
          <w:t xml:space="preserve">пунктом 12 статьи 58</w:t>
        </w:r>
      </w:hyperlink>
      <w:r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 </w:t>
      </w:r>
      <w:r>
        <w:rPr>
          <w:sz w:val="28"/>
          <w:szCs w:val="28"/>
        </w:rPr>
        <w:br/>
        <w:t xml:space="preserve">(с последующими изменениями), с </w:t>
      </w:r>
      <w:hyperlink r:id="rId13" w:tooltip="Закон Пензенской обл. от 26.02.2006 N 976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&quot; (принят ЗС Пензенской обл. 17.02.2006) ------------ Утратил" w:history="1">
        <w:r>
          <w:rPr>
            <w:color w:val="0000ff"/>
            <w:sz w:val="28"/>
            <w:szCs w:val="28"/>
          </w:rPr>
          <w:t xml:space="preserve">частью 4</w:t>
        </w:r>
        <w:r>
          <w:rPr>
            <w:color w:val="0000ff"/>
            <w:sz w:val="28"/>
            <w:szCs w:val="28"/>
          </w:rPr>
          <w:t xml:space="preserve"> </w:t>
        </w:r>
        <w:r>
          <w:rPr>
            <w:color w:val="0000ff"/>
            <w:sz w:val="28"/>
            <w:szCs w:val="28"/>
          </w:rPr>
          <w:t xml:space="preserve">статьи 55</w:t>
        </w:r>
      </w:hyperlink>
      <w:r>
        <w:rPr>
          <w:sz w:val="28"/>
          <w:szCs w:val="28"/>
        </w:rPr>
        <w:t xml:space="preserve">  Закона Пензенской области от 19 декабря 2025 года № 4708-ЗПО «О выборах депутатов представительного органа муниципального образования в Пензенской области по одномандатным избирательным округам» (далее — Закон Пензенской области № 4708-ЗПО), </w:t>
      </w:r>
      <w:hyperlink r:id="rId14" w:tooltip="Закон Пензенской обл. от 22.05.2006 N 1048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&quot; (принят ЗС Пензенской о" w:history="1">
        <w:r>
          <w:rPr>
            <w:color w:val="0000ff"/>
            <w:sz w:val="28"/>
            <w:szCs w:val="28"/>
          </w:rPr>
          <w:t xml:space="preserve">частью 4 статьи 56</w:t>
        </w:r>
      </w:hyperlink>
      <w:r>
        <w:rPr>
          <w:sz w:val="28"/>
          <w:szCs w:val="28"/>
        </w:rPr>
        <w:t xml:space="preserve"> Закона Пензенской области от 19 декабря 2025 года № 4709-ЗПО </w:t>
      </w:r>
      <w:r>
        <w:rPr>
          <w:sz w:val="28"/>
          <w:szCs w:val="28"/>
        </w:rPr>
        <w:br/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 и по единому</w:t>
      </w:r>
      <w:r>
        <w:rPr>
          <w:sz w:val="28"/>
          <w:szCs w:val="28"/>
        </w:rPr>
        <w:t xml:space="preserve"> избирательному округу» (далее — Закон Пензенской области № 4709-ЗПО).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</w:pPr>
      <w:r>
        <w:rPr>
          <w:sz w:val="28"/>
          <w:szCs w:val="28"/>
        </w:rPr>
        <w:t xml:space="preserve">Порядок согласован с Отделением по Пензенской области Волго-Вятского главного управления Центрального банка Российской Федерации.</w:t>
      </w:r>
      <w:r/>
    </w:p>
    <w:p>
      <w:pPr>
        <w:ind w:left="0" w:right="0" w:firstLine="850"/>
        <w:jc w:val="both"/>
      </w:pPr>
      <w:r/>
      <w:r/>
    </w:p>
    <w:p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</w:t>
      </w:r>
      <w:r>
        <w:rPr>
          <w:sz w:val="28"/>
          <w:szCs w:val="28"/>
        </w:rPr>
        <w:t xml:space="preserve"> 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Открытие специального избирательного счета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both"/>
      </w:pPr>
      <w:r/>
      <w:r/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Кандидаты в депутаты представительного органа муниципального образования (далее — кандидат) обязаны создавать собственные избирательные фонды для финансирования своей избирательной кампании в период после письменного уведомления территориальн</w:t>
      </w:r>
      <w:r>
        <w:rPr>
          <w:sz w:val="28"/>
          <w:szCs w:val="28"/>
        </w:rPr>
        <w:t xml:space="preserve">ой избирательной комиссии об их выдвижении (самовыдвижении) до представления документов для их регистрации этой избирательной комиссией. Избирательное объединение, выдвинувшее список кандидатов (далее — избирательное объединение), для финансирования своей </w:t>
      </w:r>
      <w:r>
        <w:rPr>
          <w:sz w:val="28"/>
          <w:szCs w:val="28"/>
        </w:rPr>
        <w:t xml:space="preserve">избирательной кампании обязано создавать собственный избирательный фонд в период после регистрации уполномоченного представителя по финансовым вопро</w:t>
      </w:r>
      <w:r>
        <w:rPr>
          <w:sz w:val="28"/>
          <w:szCs w:val="28"/>
        </w:rPr>
        <w:t xml:space="preserve">сам территориальной избирательной комиссией до представления документов для регистрации списка кандидатов этой избирательной комиссией. Избирательное объединение, выдвинувшее кандидатов по одномандатным избирательным округам, избирательный фонд не создает.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Если в избирательном округе число избирателей составляет не более пяти тысяч изб</w:t>
      </w:r>
      <w:r>
        <w:rPr>
          <w:sz w:val="28"/>
          <w:szCs w:val="28"/>
        </w:rPr>
        <w:t xml:space="preserve">ирателей, создание кандидатом избирательного фонда необязательно при условии, что финансирование кандидатом своей избирательной кампании не производится. В этом случае кандидат уведомляет территориальную избирательную комиссию об указанных обстоятельствах.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На выборах депутатов представительного органа сельского поселения избирательный фонд кандидата с</w:t>
      </w:r>
      <w:r>
        <w:rPr>
          <w:sz w:val="28"/>
          <w:szCs w:val="28"/>
        </w:rPr>
        <w:t xml:space="preserve">оздается без открытия специального избирательного счета в случае, если расходы на финансирование избирательной кампании кандидата не превышают пятнадцати тысяч рублей. В этом случае избирательный фонд создается только за счет собственных средств кандидата.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</w:t>
      </w:r>
      <w:r>
        <w:rPr>
          <w:sz w:val="28"/>
          <w:szCs w:val="28"/>
        </w:rPr>
        <w:t xml:space="preserve">Все денежные средства, образующие избирательный фонд, перечи</w:t>
      </w:r>
      <w:r>
        <w:rPr>
          <w:sz w:val="28"/>
          <w:szCs w:val="28"/>
        </w:rPr>
        <w:t xml:space="preserve">сляются на специальный избирательный счет, открытый с разрешения территориальной избирательной комиссии кандидатом либо его уполномоченным представителем по финансовым вопросам, уполномоченным представителем по финансовым вопросам избирательного объединени</w:t>
      </w:r>
      <w:r>
        <w:rPr>
          <w:sz w:val="28"/>
          <w:szCs w:val="28"/>
        </w:rPr>
        <w:t xml:space="preserve">я в филиале публичного акционерного общества «Сбербанк России», а при его отсутствии на территории соответствующего муниципального района, муниципального округа, городского округа — в другой кредитной организации, расположенной на территории муниципального</w:t>
      </w:r>
      <w:r>
        <w:rPr>
          <w:sz w:val="28"/>
          <w:szCs w:val="28"/>
        </w:rPr>
        <w:t xml:space="preserve"> района, муниципального округа, городского округа. При отсутствии на территории муниципального района, муниципального округа, городского округа кредитных организаций кандидат, избир</w:t>
      </w:r>
      <w:r>
        <w:rPr>
          <w:sz w:val="28"/>
          <w:szCs w:val="28"/>
        </w:rPr>
        <w:t xml:space="preserve">ательное объединение, определяют по согласованию с территориальной избирательной комиссией кредитную организацию, в которой открывается специальный избирательный счет. Специальный избирательный счет может быть открыт без личного присутствия (дистанционно).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 Специальный избирательный счет кандидату, избирательному объединению открывается на основании договора специального избирательного счета, оформляемого в соответствии с правилами кредитной организации.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Избирательное объединение открывает специальный избирательный счет на основании документа, выдаваемого территориальной избирательной комиссией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течение трех дней после регистрации уполномоченных </w:t>
      </w:r>
      <w:r>
        <w:rPr>
          <w:sz w:val="28"/>
          <w:szCs w:val="28"/>
        </w:rPr>
        <w:t xml:space="preserve">представителей избирательного объединения по финансовым вопросам. Кандидат открывает специальный избирательный счет на основании документа, выдаваемого территориальной избирательной комиссией в течение трех дней после ее уведомления о выдвижении кандидата.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 Кандидат, избирательное объединение вправе открыть только по одному специальному избирательному счету.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 Открытие специального избирательного счета кандидату, избирательному </w:t>
      </w:r>
      <w:r>
        <w:rPr>
          <w:sz w:val="28"/>
          <w:szCs w:val="28"/>
        </w:rPr>
        <w:t xml:space="preserve">объединен</w:t>
      </w:r>
      <w:r>
        <w:rPr>
          <w:sz w:val="28"/>
          <w:szCs w:val="28"/>
        </w:rPr>
        <w:t xml:space="preserve">ию осуществляется незамедлительно после представления кандидатом либо уполномоченным представителем кандидата по финансовым вопросам (при его назначении), уполномоченным представителем избирательного объединения по финансовым вопросам следующих документов: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1.7.1. Для кандидата: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территориальной избирательной комиссии о разрешении на открыти</w:t>
      </w:r>
      <w:r>
        <w:rPr>
          <w:sz w:val="28"/>
          <w:szCs w:val="28"/>
        </w:rPr>
        <w:t xml:space="preserve">е специального избирательного счета для формирования избирательного фонда, в котором указываются наименование и реквизиты кредитной организации, идентификационный номер налогоплательщика (ИНН) кандидата, указанный им в заявлении о согласии баллотироваться;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территориальной избирательной комиссии о регистрации уполномоченного представителя кандидата по финансовым вопросам (в случае его назначения);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карточк</w:t>
      </w:r>
      <w:r>
        <w:rPr>
          <w:sz w:val="28"/>
          <w:szCs w:val="28"/>
        </w:rPr>
        <w:t xml:space="preserve">а с образцами подписей, оформленная в порядке, установленном нормативным актом Центрального банка Российской Федерации (в случае необходимости ее представления в соответствии с правилами кредитной организации об открытии специального избирательного счета).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документы представляются при предъявлении кандидатом либо уполномоченным представителем кандидата по финансовым вопросам: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паспорта гражданина Российской Федерации либо документа, заменяющего паспорт гражданина, кандидата либо уполномоченного представителя кандидата по финансовым вопросам;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нотариально удостоверенной доверенности на имя уполномоченного представителя кандидата по финансовым вопросам (в случае его назначения) для обозрения и изготовления копии указанного документа.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1.7.2. Для избирательного объединения: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территориальной избирательной комиссии о разрешении на открытие специального избирательного счета для формирования избирательного фонда, в котором указываются наименование избирательного объединен</w:t>
      </w:r>
      <w:r>
        <w:rPr>
          <w:sz w:val="28"/>
          <w:szCs w:val="28"/>
        </w:rPr>
        <w:t xml:space="preserve">ия (для избирательного объединения, являющегося юридическим лицом, — основной государственный регистрационный номер (ОГРН), индивидуальный номер налогоплательщика (ИНН), код причины постановки на учет (КПП)), наименование и реквизиты кредитной организации;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территориальной избирательной комиссии о регистрации уполномоченного представителя избирательного объединения по финансовым вопросам;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карточка с образцами подписей и оттиска печати (</w:t>
      </w:r>
      <w:r>
        <w:rPr>
          <w:sz w:val="28"/>
          <w:szCs w:val="28"/>
        </w:rPr>
        <w:t xml:space="preserve">для юридического лица), оформленная в порядке, установленном нормативным актом Центрального банка Российской Федерации (в случае необходимости ее представления в соответствии с правилами кредитной организации об открытии специального избирательного счета).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документы представляются при предъявлении уполномоченным представителем избирательного объединения по финансовым вопросам: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паспорта гражданина Российской Федерации либо документа, заменяющего паспорт гражданина, уполномоченного представителя избирательного объединения по финансовым вопросам;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нотариально удостоверенной доверенности на имя уполномоченного представителя избирательного объединения по финансовым вопросам для обозрения и изготовления копии указанного документа.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Кандидат, избирательное объединение сообщают в территориальную избирательную комиссию реквизиты специального избирательного счета в течение трех дней со дня его открытия, по форме согласно </w:t>
      </w:r>
      <w:hyperlink w:tooltip="              О реквизитах специального избирательного счета" w:anchor="P137" w:history="1">
        <w:r>
          <w:rPr>
            <w:sz w:val="28"/>
            <w:szCs w:val="28"/>
          </w:rPr>
          <w:t xml:space="preserve">приложению</w:t>
        </w:r>
      </w:hyperlink>
      <w:r>
        <w:rPr>
          <w:sz w:val="28"/>
          <w:szCs w:val="28"/>
        </w:rPr>
        <w:t xml:space="preserve"> № 1 к настоящему Порядку.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 Плата за услуги по открытию специального избирательного счета и проведению операций по этому счету </w:t>
      </w:r>
      <w:r>
        <w:rPr>
          <w:sz w:val="28"/>
          <w:szCs w:val="28"/>
        </w:rPr>
        <w:t xml:space="preserve">не взимается. За пользование денежными средствами, находящимися на специальном избирательном счете, проценты кредитной организацией не начисляются и не выплачиваются. Все средства зачисляются на специальный избирательный счет в валюте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</w:t>
      </w:r>
      <w:r>
        <w:rPr>
          <w:sz w:val="28"/>
          <w:szCs w:val="28"/>
        </w:rPr>
        <w:t xml:space="preserve"> 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Особенности открытия специальных избирательных счетов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без личного присутствия (дистанционно)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left="0" w:right="0" w:firstLine="850"/>
        <w:jc w:val="both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 Специальный избирательный счет может быть открыт кандидатом без личного присутствия (дистанционно) в филиале ПАО Сбербанк посредством цифрового сервиса дистанционного открытия специального избирательного счета.</w:t>
      </w:r>
      <w:r>
        <w:rPr>
          <w:sz w:val="28"/>
          <w:szCs w:val="28"/>
          <w:vertAlign w:val="superscript"/>
        </w:rPr>
        <w:footnoteReference w:id="2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 Для дистанционного открытия специального избирательного счета кандидату необходимо: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 являться действующим клиентом ПАО Сбербанк, быть зарегистрированным пользователем системы ПАО Сбербанк «</w:t>
      </w:r>
      <w:r>
        <w:rPr>
          <w:sz w:val="28"/>
          <w:szCs w:val="28"/>
        </w:rPr>
        <w:t xml:space="preserve">СберБанк</w:t>
      </w:r>
      <w:r>
        <w:rPr>
          <w:sz w:val="28"/>
          <w:szCs w:val="28"/>
        </w:rPr>
        <w:t xml:space="preserve">  Онлайн» (далее — система </w:t>
      </w:r>
      <w:r>
        <w:rPr>
          <w:sz w:val="28"/>
          <w:szCs w:val="28"/>
        </w:rPr>
        <w:t xml:space="preserve">СберБанк</w:t>
      </w:r>
      <w:r>
        <w:rPr>
          <w:sz w:val="28"/>
          <w:szCs w:val="28"/>
        </w:rPr>
        <w:t xml:space="preserve"> Онлайн) и иметь установленное на мобильный телефон приложение </w:t>
      </w:r>
      <w:r>
        <w:rPr>
          <w:sz w:val="28"/>
          <w:szCs w:val="28"/>
        </w:rPr>
        <w:t xml:space="preserve">СберБанк</w:t>
      </w:r>
      <w:r>
        <w:rPr>
          <w:sz w:val="28"/>
          <w:szCs w:val="28"/>
        </w:rPr>
        <w:t xml:space="preserve"> Онлайн;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 иметь паспорт гражданина Российской Федерации, выданный не менее чем за 10 рабочих дней до дня представления в  территориальную избирательную комиссию заявления о намерении открыть с</w:t>
      </w:r>
      <w:r>
        <w:rPr>
          <w:sz w:val="28"/>
          <w:szCs w:val="28"/>
        </w:rPr>
        <w:t xml:space="preserve">пециальный избирательный счет без личного присутствия (дистанционно), согласии на передачу территориальной избирательной комиссией в ПАО Сбербанк своих персональных данных и получение СМС-уведомлений (форма заявления приведена в приложении № 2 к Порядку);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 не изменять свои номер мобильного телефона и адрес электронной почты</w:t>
      </w:r>
      <w:r>
        <w:rPr>
          <w:sz w:val="28"/>
          <w:szCs w:val="28"/>
          <w:vertAlign w:val="superscript"/>
        </w:rPr>
        <w:footnoteReference w:id="3"/>
      </w:r>
      <w:r>
        <w:rPr>
          <w:sz w:val="28"/>
          <w:szCs w:val="28"/>
        </w:rPr>
        <w:t xml:space="preserve"> с момента регистрации в системе </w:t>
      </w:r>
      <w:r>
        <w:rPr>
          <w:sz w:val="28"/>
          <w:szCs w:val="28"/>
        </w:rPr>
        <w:t xml:space="preserve">СберБанк</w:t>
      </w:r>
      <w:r>
        <w:rPr>
          <w:sz w:val="28"/>
          <w:szCs w:val="28"/>
        </w:rPr>
        <w:t xml:space="preserve">  Онлайн;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 не являться банкротом и не находиться в стадии банкротства;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 не иметь заблокированных банком счетов;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 не иметь установленных запретов (</w:t>
      </w:r>
      <w:r>
        <w:rPr>
          <w:sz w:val="28"/>
          <w:szCs w:val="28"/>
        </w:rPr>
        <w:t xml:space="preserve">самозапретов</w:t>
      </w:r>
      <w:r>
        <w:rPr>
          <w:sz w:val="28"/>
          <w:szCs w:val="28"/>
        </w:rPr>
        <w:t xml:space="preserve">) на получение любых СМС-сообщений, а также убедиться в том, что СМС-сообщения с коротких номеров не попадают в спам.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Кандидат, не являющийся клиентом ПАО Сбербанк, либо уполномоченный представитель кандидата по финансовым вопросам </w:t>
      </w:r>
      <w:r>
        <w:rPr>
          <w:sz w:val="28"/>
          <w:szCs w:val="28"/>
        </w:rPr>
        <w:t xml:space="preserve">(в случае его назначения) открывает специальный избирательный счет при личном присутствии в филиале ПАО Сбербанк и сообщает в территориальную избирательную комиссию реквизиты специального избирательного счета в соответствии с положениями раздела 1 Порядка.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 Кандидат представляет в территориальную избирательную комиссию заявление о на</w:t>
      </w:r>
      <w:r>
        <w:rPr>
          <w:sz w:val="28"/>
          <w:szCs w:val="28"/>
        </w:rPr>
        <w:t xml:space="preserve">мерении открыть специальный избирательный счет без личного присутствия (дистанционно) и согласии на передачу территориальной избирательной комиссией в ПАО Сбербанк своих персональных данных, содержащихся в заявлении о согласии баллотироваться и включающих: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фамилию, имя, отчество;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число, месяц и год рождения;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серию и номер паспорта гражданина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1.1.4. После принятия постановления </w:t>
      </w:r>
      <w:r>
        <w:rPr>
          <w:sz w:val="28"/>
          <w:szCs w:val="28"/>
        </w:rPr>
        <w:t xml:space="preserve">территориальной избирательной комиссии об открытии специального избирательного счета кандидата, и на основании заявления, указанного в пункте 1.1.3 Порядка, территориальная избирательная комиссия направляет в ПАО Сбербанк через автоматизированную систему «</w:t>
      </w:r>
      <w:r>
        <w:rPr>
          <w:sz w:val="28"/>
          <w:szCs w:val="28"/>
        </w:rPr>
        <w:t xml:space="preserve">СберКазначейство</w:t>
      </w:r>
      <w:r>
        <w:rPr>
          <w:sz w:val="28"/>
          <w:szCs w:val="28"/>
        </w:rPr>
        <w:t xml:space="preserve">» следующую информацию: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фамилию, имя, отчество кандидата;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число, месяц и год рождения кандидата;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серию и номер паспорта гражданина Российской Федерации;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 реквизиты постановления территориальной избирательной комиссии об открытии специального избирательного счета кандидата;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 наименование избирательной кампании;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 дату и время окончания периода представления документов, необходимых для регистрации кандидатов на выборах в соответствии с Законом Пензенской области № 4708-ЗПО или Законом Пензенской области № 4709-ЗПО;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 реквизиты филиала ПАО Сбербанк, указанные в постановлении территориальной избирательной комиссии об открытии специального избирательного счета кандидата.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1.1.5. </w:t>
      </w:r>
      <w:r>
        <w:rPr>
          <w:sz w:val="28"/>
          <w:szCs w:val="28"/>
        </w:rPr>
        <w:t xml:space="preserve">При успешном прохождении процедуры проверки клиента, осуществляемой в режиме реального времени, ПАО Сбербанк направляет кандидату СМС-сообщение с короткого номера 0321 на номер мобильного телефона, привязанного к действующей учетной записи клиента системы </w:t>
      </w:r>
      <w:r>
        <w:rPr>
          <w:sz w:val="28"/>
          <w:szCs w:val="28"/>
        </w:rPr>
        <w:t xml:space="preserve">СберБанк</w:t>
      </w:r>
      <w:r>
        <w:rPr>
          <w:sz w:val="28"/>
          <w:szCs w:val="28"/>
        </w:rPr>
        <w:t xml:space="preserve"> Онлайн, о возможности открытия специального избирательного счета дистанционно (с направлением ссылки для его открытия).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для дистанционного открытия счета автоматически деактивируется в день, следующий за днем окончания периода представления документов, необходимых для регистрации кандидатов на выборах в соответствии с Законом </w:t>
      </w:r>
      <w:r>
        <w:rPr>
          <w:sz w:val="28"/>
          <w:szCs w:val="28"/>
        </w:rPr>
        <w:t xml:space="preserve">Пензенской области № 4708-ЗПО или Законом Пензенской области № 4709-ЗПО.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1.1.6. </w:t>
      </w:r>
      <w:r>
        <w:rPr>
          <w:sz w:val="28"/>
          <w:szCs w:val="28"/>
        </w:rPr>
        <w:t xml:space="preserve">После перехода по ссылке кандидат авторизуется в мобильном приложении системы </w:t>
      </w:r>
      <w:r>
        <w:rPr>
          <w:sz w:val="28"/>
          <w:szCs w:val="28"/>
        </w:rPr>
        <w:t xml:space="preserve">СберБанк</w:t>
      </w:r>
      <w:r>
        <w:rPr>
          <w:sz w:val="28"/>
          <w:szCs w:val="28"/>
        </w:rPr>
        <w:t xml:space="preserve"> Онлайн и, последовательно заполняя необходимую информацию в открывающихся диалоговых окнах, подписывает заявление</w:t>
      </w:r>
      <w:r>
        <w:rPr>
          <w:sz w:val="28"/>
          <w:szCs w:val="28"/>
          <w:vertAlign w:val="superscript"/>
        </w:rPr>
        <w:footnoteReference w:id="4"/>
      </w:r>
      <w:r>
        <w:rPr>
          <w:sz w:val="28"/>
          <w:szCs w:val="28"/>
        </w:rPr>
        <w:t xml:space="preserve"> о присоеди</w:t>
      </w:r>
      <w:r>
        <w:rPr>
          <w:sz w:val="28"/>
          <w:szCs w:val="28"/>
        </w:rPr>
        <w:t xml:space="preserve">нении к Условиям открытия и обслуживания специального избирательного счета кандидата и Условиям предоставления услуг с использованием системы дистанционного банковского обслуживания ПАО Сбербанк «Сбербанк Бизнес Онлайн» (далее — заявление о присоединении).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Подписание заявления о присоединении осуществляется путем проставления отметки и ввода одноразового кода подтверждения, полученного в СМС-уведомлении с короткого номера 900 на номер мобильного телефона кандидата.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подписания кандидатом заявления о присоединении специальный избирательный счет открывается незамедлительно.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1.1.7. После открытия ПАО Сбербанк специального избирательного счета кандидата на адрес электр</w:t>
      </w:r>
      <w:r>
        <w:rPr>
          <w:sz w:val="28"/>
          <w:szCs w:val="28"/>
        </w:rPr>
        <w:t xml:space="preserve">онной почты, указанный кандидатом в заявлении о присоединении, направляется логин, а на номер мобильного телефона в СМС-сообщении — пароль для доступа к личному кабинету системы дистанционного банковского обслуживания ПАО Сбербанк «Сбербанк Бизнес Онлайн».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1.1.8. При отсутствии технической возможности открытия специального избирательного счета ПАО Сбербанк незамедлительно информирует об этом кандидата сообщением в диалоговом окне личного кабинета системы </w:t>
      </w:r>
      <w:r>
        <w:rPr>
          <w:sz w:val="28"/>
          <w:szCs w:val="28"/>
        </w:rPr>
        <w:t xml:space="preserve">СберБанк</w:t>
      </w:r>
      <w:r>
        <w:rPr>
          <w:sz w:val="28"/>
          <w:szCs w:val="28"/>
        </w:rPr>
        <w:t xml:space="preserve"> Онлайн с указанием причины отказа.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1.1.9. </w:t>
      </w:r>
      <w:r>
        <w:rPr>
          <w:sz w:val="28"/>
          <w:szCs w:val="28"/>
        </w:rPr>
        <w:t xml:space="preserve">Кандидат сообщает в территориальную избирательную комиссию  по установленной Порядком форме (приложение № 1) реквизиты специального избирательного счета, открытого без личного присутствия (дистанционно), не позднее чем через три дня со дня его открытия.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Кандидатом, уполномоче</w:t>
      </w:r>
      <w:r>
        <w:rPr>
          <w:sz w:val="28"/>
          <w:szCs w:val="28"/>
        </w:rPr>
        <w:t xml:space="preserve">нным представителем кандидата  по финансовым вопросам (в случае его назначения) могут быть представлены документы, в том числе в составе финансовой отчетности (выписка по специальному избирательному счету, копии платежных (расчетных) документов, банковский</w:t>
      </w:r>
      <w:r>
        <w:rPr>
          <w:sz w:val="28"/>
          <w:szCs w:val="28"/>
        </w:rPr>
        <w:t xml:space="preserve"> документ об остатках на специальном избирательном счете), распечатанные из системы дистанционного банковского обслуживания ПАО Сбербанк «Сбербанк Бизнес Онлайн» по форме банка и заверенные собственноручной подписью кандидата, уполномоченного представителя</w:t>
      </w:r>
      <w:r>
        <w:rPr>
          <w:sz w:val="28"/>
          <w:szCs w:val="28"/>
        </w:rPr>
        <w:t xml:space="preserve"> кандидата по финансовым вопросам (в случае его назначения), если иные требования к указанным документам не предусмотрены законом.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1.1.10. Для решения организационных вопросов по открытию специальных избирательных счетов кандидатов без личного присутствия (дистанционно) в ПАО Сбербанк организуется «горячая линия».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1.1.11. Ведение и закрытие специального избирательного счета, открытого без личного присутствия (дистанционно), осуществляются в соответствии с Порядком.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</w:pPr>
      <w:r/>
      <w:r/>
    </w:p>
    <w:p>
      <w:pPr>
        <w:jc w:val="both"/>
        <w:rPr>
          <w:sz w:val="28"/>
          <w:szCs w:val="28"/>
        </w:rPr>
        <w:outlineLvl w:val="1"/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</w:t>
      </w:r>
      <w:r>
        <w:rPr>
          <w:sz w:val="28"/>
          <w:szCs w:val="28"/>
        </w:rPr>
        <w:t xml:space="preserve"> 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Ведение специального избирательного счета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jc w:val="both"/>
      </w:pPr>
      <w:r/>
      <w:r/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 Право распоряжаться средствами избират</w:t>
      </w:r>
      <w:r>
        <w:rPr>
          <w:sz w:val="28"/>
          <w:szCs w:val="28"/>
        </w:rPr>
        <w:t xml:space="preserve">ельного фонда (далее — средства) принадлежит создавшему его кандидату в депутаты представительного органа муниципального образования, избирательному объединению, выдвинувшему список кандидатов в депутаты представительного органа муниципального образования.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 Добровольное пожертвование гражданина Российской Федерац</w:t>
      </w:r>
      <w:r>
        <w:rPr>
          <w:sz w:val="28"/>
          <w:szCs w:val="28"/>
        </w:rPr>
        <w:t xml:space="preserve">ии в избирательный фонд вносится лично гражданином на специальный избирательный счет через отделение связи, кредитную организацию из собственных средств по предъявлении паспорта гражданина Российской Федерации или документа, заменяющего паспорт гражданина.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внесении добровольного пожертвования гражданин указывает в платежном документе в реквизите «Назнач</w:t>
      </w:r>
      <w:r>
        <w:rPr>
          <w:sz w:val="28"/>
          <w:szCs w:val="28"/>
        </w:rPr>
        <w:t xml:space="preserve">ение платежа» слово «пожертвование» и следующие сведения о себе: фамилию, имя и отчество, дату рождения, адрес места жительства, серию и номер паспорта гражданина Российской Федерации или документа, заменяющего паспорт гражданина, информацию о гражданстве.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внесении добровольного пожертвования гражданином, который включен в список физических лиц, выполняющих функции иностранного агента, и (или) информация о котором включена в реестр иностранных средств массовой информации, выполняю</w:t>
      </w:r>
      <w:r>
        <w:rPr>
          <w:sz w:val="28"/>
          <w:szCs w:val="28"/>
        </w:rPr>
        <w:t xml:space="preserve">щих функции иностранного агента, такой гражданин указывает в реквизите «Назначение платежа» платежного документа информацию о включении его в список физических лиц, выполняющих функции иностранного агента, и (или) информацию о включении гражданина в реестр</w:t>
      </w:r>
      <w:r>
        <w:rPr>
          <w:sz w:val="28"/>
          <w:szCs w:val="28"/>
        </w:rPr>
        <w:t xml:space="preserve"> иностранных средств массовой информации, выполняющих функции иностранного агента.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Платежные документы на перечисление добровольных пожертвований, внесенных гражданами на специальный избирательный счет, заполняются кредитными организациями в соответствии с требованиями н</w:t>
      </w:r>
      <w:r>
        <w:rPr>
          <w:sz w:val="28"/>
          <w:szCs w:val="28"/>
        </w:rPr>
        <w:t xml:space="preserve">ормативных актов Центрального банка Российской Федерации, регулирующих правила перевода денежных средств. При этом в реквизит «Назначение платежа» платежного документа кредитная организация переносит информацию, указанную гражданином в платежном документе.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 Добровольное пожертвование юридического лица в избирательный фонд осуществляется в безналичном порядке путем перечисления денежных средств на специальный избирательный счет.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Платежные документы на перечисление добровольных пожертвований на специальный избирательный счет составляются юридическими лицами в соответствии с требованиями нормативных актов Центрального банка Российской Феде</w:t>
      </w:r>
      <w:r>
        <w:rPr>
          <w:sz w:val="28"/>
          <w:szCs w:val="28"/>
        </w:rPr>
        <w:t xml:space="preserve">рации, устанавливающих правила осуществления перевода денежных средств. При этом в реквизите «Назначение платежа» платежного документа указываются слово «пожертвование», дата регистрации юридического лица, отметка  об  отсутствии ограничений, указанных  в </w:t>
      </w:r>
      <w:hyperlink r:id="rId15" w:tooltip="Закон Пензенской обл. от 26.02.2006 N 976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&quot; (принят ЗС Пензенской обл. 17.02.2006) ------------ Утратил" w:history="1">
        <w:r>
          <w:rPr>
            <w:sz w:val="28"/>
            <w:szCs w:val="28"/>
          </w:rPr>
          <w:t xml:space="preserve">части 5 статьи 56</w:t>
        </w:r>
      </w:hyperlink>
      <w:r>
        <w:rPr>
          <w:sz w:val="28"/>
          <w:szCs w:val="28"/>
        </w:rPr>
        <w:t xml:space="preserve"> Закона  Пензенской области № 4708-ЗПО или в </w:t>
      </w:r>
      <w:hyperlink r:id="rId16" w:tooltip="Закон Пензенской обл. от 22.05.2006 N 1048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&quot; (принят ЗС Пензенской о" w:history="1">
        <w:r>
          <w:rPr>
            <w:sz w:val="28"/>
            <w:szCs w:val="28"/>
          </w:rPr>
          <w:t xml:space="preserve">части 6 статьи 57</w:t>
        </w:r>
      </w:hyperlink>
      <w:r>
        <w:rPr>
          <w:sz w:val="28"/>
          <w:szCs w:val="28"/>
        </w:rPr>
        <w:t xml:space="preserve"> Закона Пензенской области № 4709-ЗПО. </w:t>
      </w:r>
      <w:r>
        <w:rPr>
          <w:sz w:val="28"/>
          <w:szCs w:val="28"/>
        </w:rPr>
        <w:t xml:space="preserve">В качестве отметки об отсутствии ограничений используется следующая запись: «Ограничения, предусмотренные </w:t>
      </w:r>
      <w:hyperlink r:id="rId17" w:tooltip="Закон Пензенской обл. от 26.02.2006 N 976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&quot; (принят ЗС Пензенской обл. 17.02.2006) ------------ Утратил" w:history="1">
        <w:r>
          <w:rPr>
            <w:sz w:val="28"/>
            <w:szCs w:val="28"/>
          </w:rPr>
          <w:t xml:space="preserve">частью 5 статьи 56</w:t>
        </w:r>
      </w:hyperlink>
      <w:r>
        <w:rPr>
          <w:sz w:val="28"/>
          <w:szCs w:val="28"/>
        </w:rPr>
        <w:t xml:space="preserve"> Закона Пензенской области </w:t>
      </w:r>
      <w:r>
        <w:rPr>
          <w:sz w:val="28"/>
          <w:szCs w:val="28"/>
        </w:rPr>
        <w:t xml:space="preserve">№ 4708-ЗПО или </w:t>
      </w:r>
      <w:hyperlink r:id="rId18" w:tooltip="Закон Пензенской обл. от 22.05.2006 N 1048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&quot; (принят ЗС Пензенской о" w:history="1">
        <w:r>
          <w:rPr>
            <w:sz w:val="28"/>
            <w:szCs w:val="28"/>
          </w:rPr>
          <w:t xml:space="preserve">частью 6 статьи 57</w:t>
        </w:r>
      </w:hyperlink>
      <w:r>
        <w:rPr>
          <w:sz w:val="28"/>
          <w:szCs w:val="28"/>
        </w:rPr>
        <w:t xml:space="preserve"> Закона Пензенской области от № 4709-ЗПО, отсутствуют», допускается сокращение: «</w:t>
      </w:r>
      <w:r>
        <w:rPr>
          <w:sz w:val="28"/>
          <w:szCs w:val="28"/>
        </w:rPr>
        <w:t xml:space="preserve">Отс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огр</w:t>
      </w:r>
      <w:r>
        <w:rPr>
          <w:sz w:val="28"/>
          <w:szCs w:val="28"/>
        </w:rPr>
        <w:t xml:space="preserve">.».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 Собственные средства кандидата в избирательный фонд вносятся через отделение связи, кредитную орг</w:t>
      </w:r>
      <w:r>
        <w:rPr>
          <w:sz w:val="28"/>
          <w:szCs w:val="28"/>
        </w:rPr>
        <w:t xml:space="preserve">анизацию лично кандидатом либо уполномоченным представителем кандидата по финансовым вопросам (в случае его назначения) из собственных средств кандидата по предъявлении паспорта гражданина Российской Федерации или документа, заменяющего паспорт гражданина.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внесении собственных средств кандидат в платежном документе указывает следующие сведения: фамилию, имя, отчество, а в реквизите «Назначение платежа» платежного документа указываются слова «Собственные средства».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внесении собственных средств кандидата уполномоченным представителем кандидата по финансовым вопросам (в случае его назначения) в платежном докум</w:t>
      </w:r>
      <w:r>
        <w:rPr>
          <w:sz w:val="28"/>
          <w:szCs w:val="28"/>
        </w:rPr>
        <w:t xml:space="preserve">енте указываются фамилия, имя, отчество уполномоченного представителя кандидата по финансовым вопросам, а в реквизите «Назначение платежа» платежного документа указываются следующие сведения: фамилия, имя, отчество кандидата и слова «Собственные средства».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2.5.Собственные средства избирательного объединения в избирательный фонд вносятся в безналичном порядке путем перечисления денежных средств на специальный избирательный счет.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Платежные документы на п</w:t>
      </w:r>
      <w:r>
        <w:rPr>
          <w:sz w:val="28"/>
          <w:szCs w:val="28"/>
        </w:rPr>
        <w:t xml:space="preserve">еречисление собственных средств избирательного объединения на специальный избирательный счет составляются в соответствии с требованиями нормативных актов Центрального банка Российской Федерации, регулирующих правила осуществления перевода денежных средств.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в реквизите «Назначение платежа» платежного документа указываются слова «Собственные средства».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 Индивидуальный предприниматель при внесении пожертвования в платежном документе указывает реквизиты, обязательные для граждан-жертвователей.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 Операции по специальным изб</w:t>
      </w:r>
      <w:r>
        <w:rPr>
          <w:sz w:val="28"/>
          <w:szCs w:val="28"/>
        </w:rPr>
        <w:t xml:space="preserve">ирательным счетам кандидата, избирательного объединения осуществляются в соответствии с законодательством Российской Федерации, нормативными актами Центрального банка Российской Федерации, Порядком и на основании договора специального избирательного счета.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Кредитная организация представляет территориальной избир</w:t>
      </w:r>
      <w:r>
        <w:rPr>
          <w:sz w:val="28"/>
          <w:szCs w:val="28"/>
        </w:rPr>
        <w:t xml:space="preserve">ательной комиссии сведения о поступлении средств на специальные избирательные счета и расходовании этих средств кандидатов, избирательных объединений с использованием автоматизированной системы дистанционного банковского обслуживания (далее — система ДБО).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системы ДБО либо</w:t>
      </w:r>
      <w:r>
        <w:rPr>
          <w:sz w:val="28"/>
          <w:szCs w:val="28"/>
        </w:rPr>
        <w:t xml:space="preserve"> возникновения проблем с передачей данных указанные сведения представляются в машиночитаемом виде или на бумажном носителе не реже одного раза в неделю, а за 10 дней до дня (первого дня) голосования — не реже одного раза в три операционных дня, по формам, </w:t>
      </w:r>
      <w:r>
        <w:rPr>
          <w:sz w:val="28"/>
          <w:szCs w:val="28"/>
        </w:rPr>
        <w:t xml:space="preserve">утвержденным территориальной избирательной комиссией. Положение о представлении этих сведений включается в договор специального избирательного счета.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2.8. </w:t>
      </w:r>
      <w:r>
        <w:rPr>
          <w:sz w:val="28"/>
          <w:szCs w:val="28"/>
        </w:rPr>
        <w:t xml:space="preserve">Кредитная организация,</w:t>
      </w:r>
      <w:r>
        <w:rPr>
          <w:sz w:val="28"/>
          <w:szCs w:val="28"/>
        </w:rPr>
        <w:t xml:space="preserve"> в которой открыт специальный избирательный счет, по требованию территориальной избирательной комиссии, кандидата либо уполномоченного представителя кандидата по финансовым вопросам (в случае его назначения) по соответствующему избирательному фонду, уполно</w:t>
      </w:r>
      <w:r>
        <w:rPr>
          <w:sz w:val="28"/>
          <w:szCs w:val="28"/>
        </w:rPr>
        <w:t xml:space="preserve">моченного представителя избирательного объединения обязана в трехдневный срок, а за три дня до дня (первого дня) голосования — в день обращения, представить заверенные копии первичных финансовых документов, подтверждающих поступление и расходование средств</w:t>
      </w:r>
      <w:r>
        <w:rPr>
          <w:sz w:val="28"/>
          <w:szCs w:val="28"/>
        </w:rPr>
        <w:t xml:space="preserve"> избирательных фондов.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 Кандидат, избирательное объединение имеют право использовать только те денежные средства, которые перечислены отправителями на соответствующий специальный избирательный счет до дня голосования в установленном законодательством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 После официального опубликования решения о назначении </w:t>
      </w:r>
      <w:r>
        <w:rPr>
          <w:sz w:val="28"/>
          <w:szCs w:val="28"/>
        </w:rPr>
        <w:t xml:space="preserve">выборов депутатов представительного органа муниципального образования нового созыва</w:t>
      </w:r>
      <w:r>
        <w:rPr>
          <w:sz w:val="28"/>
          <w:szCs w:val="28"/>
        </w:rPr>
        <w:t xml:space="preserve"> территориальная избирательная комиссия направляет в адрес кредитной организации, в которой будут открыты специальные избирательные счета кандидатов и избирательных объединений: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реквиз</w:t>
      </w:r>
      <w:r>
        <w:rPr>
          <w:sz w:val="28"/>
          <w:szCs w:val="28"/>
        </w:rPr>
        <w:t xml:space="preserve">итах счета для перечисления в доход бюджета соответствующего муниципального образования пожертвований, внесенных анонимными жертвователями, и остатках неизрасходованных денежных средств избирательных фондов, которые не могут быть перечислены жертвователям </w:t>
      </w:r>
      <w:r>
        <w:rPr>
          <w:sz w:val="28"/>
          <w:szCs w:val="28"/>
        </w:rPr>
        <w:br/>
        <w:t xml:space="preserve">(с учетом расходов на пересылку);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письменное указание перечислить в доход бюджета соответствующего муниципального образования остатки неизрасходованных денежных средств избирательных фондов в срок, предусмотренный </w:t>
      </w:r>
      <w:hyperlink r:id="rId19" w:tooltip="Закон Пензенской обл. от 26.02.2006 N 976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&quot; (принят ЗС Пензенской обл. 17.02.2006) ------------ Утратил" w:history="1">
        <w:r>
          <w:rPr>
            <w:sz w:val="28"/>
            <w:szCs w:val="28"/>
          </w:rPr>
          <w:t xml:space="preserve">частью 11 статьи 57</w:t>
        </w:r>
      </w:hyperlink>
      <w:r>
        <w:rPr>
          <w:sz w:val="28"/>
          <w:szCs w:val="28"/>
        </w:rPr>
        <w:t xml:space="preserve"> Закона Пензенской области № 4708-ЗПО или </w:t>
      </w:r>
      <w:hyperlink r:id="rId20" w:tooltip="Закон Пензенской обл. от 22.05.2006 N 1048-ЗПО (ред. от 23.06.2025) &quot;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&quot; (принят ЗС Пензенской о" w:history="1">
        <w:r>
          <w:rPr>
            <w:sz w:val="28"/>
            <w:szCs w:val="28"/>
          </w:rPr>
          <w:t xml:space="preserve">частью 11 статьи 58</w:t>
        </w:r>
      </w:hyperlink>
      <w:r>
        <w:rPr>
          <w:sz w:val="28"/>
          <w:szCs w:val="28"/>
        </w:rPr>
        <w:t xml:space="preserve"> Зак</w:t>
      </w:r>
      <w:r>
        <w:rPr>
          <w:sz w:val="28"/>
          <w:szCs w:val="28"/>
        </w:rPr>
        <w:t xml:space="preserve">она Пензенской области № 4709-ЗПО, закрыть специальные избирательные счета, открытые кандидатами, избирательными объединениями для формирования своих избирательных фондов при проведении выборов депутатов представительного органа муниципального образования.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</w:t>
      </w:r>
      <w:r>
        <w:rPr>
          <w:sz w:val="28"/>
          <w:szCs w:val="28"/>
        </w:rPr>
        <w:t xml:space="preserve"> 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Закрытие специального избирательного счета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left="0" w:right="0" w:firstLine="850"/>
        <w:jc w:val="both"/>
      </w:pPr>
      <w:r/>
      <w:r/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Все финансовые операции по специальному избирательному счету кандид</w:t>
      </w:r>
      <w:r>
        <w:rPr>
          <w:sz w:val="28"/>
          <w:szCs w:val="28"/>
        </w:rPr>
        <w:t xml:space="preserve">ата, избирательного объединения, за исключением возврата в избирательный фонд неизрасходованных денежных средств и зачисления на указанный счет денежных средств, перечисленных до дня (первого дня) голосования, прекращаются в день (первый день) голосования.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кандидат утратил свой статус ранее указанного срока, а также если избирательное объединение отзывает выдвинутый им список кандидатов, то все </w:t>
      </w:r>
      <w:r>
        <w:rPr>
          <w:sz w:val="28"/>
          <w:szCs w:val="28"/>
        </w:rPr>
        <w:t xml:space="preserve">операции по соответствующему специальному избирательному счету прекращаются кредитной организацией по письменному указанию территориальной избирательной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 На основании ходатайства кандидата, избирательного объединения территориальная избирательная комиссия может продлить срок проведения финансовых операций по оплате работ (услуг), выполненных (оказанных) до дня (первого дня) голосования.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финансовых операций территориальная избирательная комиссия письменно извещают кредитную организацию.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3.3. </w:t>
      </w:r>
      <w:r>
        <w:rPr>
          <w:sz w:val="28"/>
          <w:szCs w:val="28"/>
        </w:rPr>
        <w:t xml:space="preserve">Специальный избирательный счет закрывается кандидатом (гражданином, являвшимся кандидатом), уполномо</w:t>
      </w:r>
      <w:r>
        <w:rPr>
          <w:sz w:val="28"/>
          <w:szCs w:val="28"/>
        </w:rPr>
        <w:t xml:space="preserve">ченным представителем кандидата по финансовым вопросам (в случае его назначения), уполномоченным представителем избирательного объединения по финансовым вопросам до дня представления финансового отчета соответственно кандидатом, избирательным объединением.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 Кредитная организация при закрытии специального избирательного счета выдает кандидату (гражданину, являвшемуся кандидато</w:t>
      </w:r>
      <w:r>
        <w:rPr>
          <w:sz w:val="28"/>
          <w:szCs w:val="28"/>
        </w:rPr>
        <w:t xml:space="preserve">м), уполномоченному представителю кандидата по финансовым вопросам (в случае его назначения), уполномоченному представителю избирательного объединения по финансовым вопросам заверенный документ о закрытии соответствующего специального избирательного счета.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если на специальном избирательном счете имеется неизрасходованный остаток денежных средств, то кредитная организация выдает заверенный документ об остатке денежных средств на этом счете.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</w:pPr>
      <w:r/>
      <w:r/>
    </w:p>
    <w:p>
      <w:pPr>
        <w:ind w:left="0" w:right="0" w:firstLine="850"/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pStyle w:val="1001"/>
        <w:ind w:left="5386"/>
        <w:jc w:val="center"/>
        <w:outlineLvl w:val="1"/>
      </w:pPr>
      <w:r>
        <w:t xml:space="preserve">Приложение №1</w:t>
      </w:r>
      <w:r>
        <w:br/>
        <w:t xml:space="preserve"> к Порядку открытия, ведения и закрытия </w:t>
      </w:r>
      <w:r>
        <w:br/>
        <w:t xml:space="preserve">специальных избирательных счетов </w:t>
      </w:r>
      <w:r>
        <w:br/>
        <w:t xml:space="preserve">избирательных фондов кандидатов, </w:t>
      </w:r>
      <w:r>
        <w:br/>
        <w:t xml:space="preserve">избирательных объединений при проведении дополнительных</w:t>
      </w:r>
      <w:r>
        <w:t xml:space="preserve"> выборов депутатов представительного органа</w:t>
      </w:r>
      <w:r>
        <w:br/>
        <w:t xml:space="preserve"> муниципального образования </w:t>
      </w:r>
      <w:r>
        <w:br/>
        <w:t xml:space="preserve">в Пензенской области</w:t>
      </w:r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В территориальную избирательную комиссию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</w:pPr>
      <w:r/>
      <w:r/>
    </w:p>
    <w:p>
      <w:pPr>
        <w:jc w:val="center"/>
        <w:rPr>
          <w:sz w:val="28"/>
          <w:szCs w:val="28"/>
          <w:u w:val="single"/>
        </w:rPr>
      </w:pPr>
      <w:r>
        <w:t xml:space="preserve">                                   </w:t>
      </w:r>
      <w:r>
        <w:rPr>
          <w:sz w:val="28"/>
          <w:szCs w:val="28"/>
          <w:u w:val="single"/>
        </w:rPr>
        <w:t xml:space="preserve">Малосердобинского района Пензенской области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jc w:val="center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(</w:t>
      </w:r>
      <w:r>
        <w:rPr>
          <w:rFonts w:ascii="Times New Roman" w:hAnsi="Times New Roman" w:cs="Times New Roman"/>
          <w:sz w:val="22"/>
          <w:szCs w:val="22"/>
        </w:rPr>
        <w:t xml:space="preserve">наименование территориальной избирательной комиссии)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/>
    </w:p>
    <w:p>
      <w:pPr>
        <w:jc w:val="both"/>
      </w:pPr>
      <w:r/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/>
      <w:bookmarkEnd w:id="0"/>
      <w:r>
        <w:rPr>
          <w:b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О реквизитах специального избирательного счета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</w:pPr>
      <w:r/>
      <w:r/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t xml:space="preserve"> _________________________________________________________________________________________</w:t>
      </w:r>
      <w:r/>
    </w:p>
    <w:p>
      <w:pPr>
        <w:jc w:val="both"/>
      </w:pPr>
      <w:r>
        <w:t xml:space="preserve">                       (</w:t>
      </w:r>
      <w:r>
        <w:rPr>
          <w:rFonts w:ascii="Times New Roman" w:hAnsi="Times New Roman" w:cs="Times New Roman"/>
          <w:sz w:val="22"/>
          <w:szCs w:val="22"/>
        </w:rPr>
        <w:t xml:space="preserve">наименование кредитной организации</w:t>
      </w:r>
      <w:r>
        <w:t xml:space="preserve">)</w:t>
      </w:r>
      <w:r/>
    </w:p>
    <w:p>
      <w:pPr>
        <w:jc w:val="both"/>
      </w:pPr>
      <w:r>
        <w:t xml:space="preserve">___________________________________________________________________________________________</w:t>
      </w:r>
      <w:r/>
    </w:p>
    <w:p>
      <w:pPr>
        <w:jc w:val="both"/>
      </w:pPr>
      <w:r/>
      <w:r/>
    </w:p>
    <w:p>
      <w:pPr>
        <w:jc w:val="both"/>
      </w:pPr>
      <w: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Кандидат, избирательное объединение</w:t>
      </w:r>
      <w:r/>
    </w:p>
    <w:p>
      <w:pPr>
        <w:jc w:val="both"/>
      </w:pPr>
      <w:r>
        <w:t xml:space="preserve">____________________________________________________________________________________________</w:t>
      </w:r>
      <w:r/>
    </w:p>
    <w:p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(фамилия, имя и отчество кандидата/наименование избирательного объединения)</w:t>
      </w:r>
      <w:r/>
    </w:p>
    <w:p>
      <w:pPr>
        <w:jc w:val="both"/>
      </w:pPr>
      <w:r>
        <w:t xml:space="preserve">_____________________________________________________________________________________________</w:t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сообщает о том, что для проведения избирательной кампании по выборам депутатов представительного органа </w:t>
      </w:r>
      <w: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(наименование представительного органа)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</w:pPr>
      <w:r/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 20___ года открыт специальный избирательный счет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</w:pPr>
      <w:r>
        <w:t xml:space="preserve">_____________________________________________________________________________________________</w:t>
      </w:r>
      <w:r/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(номер специального избирательного счета, наименование и адрес кредитной организации)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(уполномоченный представитель кандидата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финансовым вопросам),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уполномоченный представитель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избирательного объединения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финансовым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вопросам</w:t>
      </w:r>
      <w:r>
        <w:t xml:space="preserve">                               ___________________________________________________________</w:t>
      </w:r>
      <w:r/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(подпись, фамилия, инициалы, дата)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</w:pPr>
      <w:r>
        <w:tab/>
      </w:r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pStyle w:val="1001"/>
        <w:ind w:left="5386"/>
        <w:jc w:val="center"/>
        <w:outlineLvl w:val="1"/>
      </w:pPr>
      <w:r>
        <w:t xml:space="preserve">Приложение №2</w:t>
      </w:r>
      <w:r>
        <w:br/>
        <w:t xml:space="preserve"> к Порядку открытия, ведения и закрытия </w:t>
      </w:r>
      <w:r>
        <w:br/>
        <w:t xml:space="preserve">специальных избирательных счетов </w:t>
      </w:r>
      <w:r>
        <w:br/>
        <w:t xml:space="preserve">избирательных фондов кандидатов, </w:t>
      </w:r>
      <w:r>
        <w:br/>
        <w:t xml:space="preserve">избирательных объединений при проведении дополнительных</w:t>
      </w:r>
      <w:r>
        <w:t xml:space="preserve"> выборов депутатов представительного органа</w:t>
      </w:r>
      <w:r>
        <w:br/>
        <w:t xml:space="preserve"> муниципального образования </w:t>
      </w:r>
      <w:r>
        <w:br/>
        <w:t xml:space="preserve">в Пензенской области</w:t>
      </w:r>
      <w:r/>
    </w:p>
    <w:p>
      <w:pPr>
        <w:jc w:val="both"/>
        <w:rPr>
          <w:highlight w:val="none"/>
        </w:rPr>
        <w:outlineLvl w:val="1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highlight w:val="none"/>
        </w:rPr>
        <w:outlineLvl w:val="1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highlight w:val="none"/>
        </w:rPr>
        <w:outlineLvl w:val="1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1053"/>
        <w:tblW w:w="995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709"/>
        <w:gridCol w:w="6246"/>
      </w:tblGrid>
      <w:tr>
        <w:tblPrEx/>
        <w:trPr>
          <w:trHeight w:val="255"/>
        </w:trPr>
        <w:tc>
          <w:tcPr>
            <w:tcW w:w="3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246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  <w:tr>
        <w:tblPrEx/>
        <w:trPr>
          <w:trHeight w:val="680"/>
        </w:trPr>
        <w:tc>
          <w:tcPr>
            <w:tcW w:w="3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24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В</w:t>
            </w:r>
            <w:r>
              <w:rPr>
                <w:sz w:val="24"/>
                <w:szCs w:val="24"/>
                <w:u w:val="single"/>
              </w:rPr>
              <w:t xml:space="preserve"> территориальную избирательную комиссии Малосердобинского района Пензенской области</w:t>
            </w:r>
            <w:r>
              <w:rPr>
                <w:sz w:val="24"/>
                <w:szCs w:val="24"/>
                <w:u w:val="single"/>
              </w:rPr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(полное наименование территориальной избирательной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</w:pPr>
            <w:r>
              <w:rPr>
                <w:sz w:val="22"/>
                <w:szCs w:val="22"/>
              </w:rPr>
              <w:t xml:space="preserve"> комиссии)</w:t>
            </w:r>
            <w:r/>
          </w:p>
        </w:tc>
      </w:tr>
      <w:tr>
        <w:tblPrEx/>
        <w:trPr>
          <w:trHeight w:val="460"/>
        </w:trPr>
        <w:tc>
          <w:tcPr>
            <w:tcW w:w="3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24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от</w:t>
            </w:r>
            <w:r>
              <w:t xml:space="preserve">___________________________________________________,</w:t>
            </w:r>
            <w:r/>
          </w:p>
          <w:p>
            <w:pPr>
              <w:jc w:val="both"/>
            </w:pPr>
            <w:r>
              <w:rPr>
                <w:sz w:val="22"/>
                <w:szCs w:val="22"/>
              </w:rPr>
              <w:t xml:space="preserve">                  (фамилия, имя, отчество кандидата)</w:t>
            </w:r>
            <w:r/>
          </w:p>
        </w:tc>
      </w:tr>
      <w:tr>
        <w:tblPrEx/>
        <w:trPr>
          <w:trHeight w:val="880"/>
        </w:trPr>
        <w:tc>
          <w:tcPr>
            <w:tcW w:w="3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24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зарегистрированного</w:t>
            </w:r>
            <w:r>
              <w:rPr>
                <w:sz w:val="24"/>
                <w:szCs w:val="24"/>
              </w:rPr>
              <w:t xml:space="preserve"> по адресу:</w:t>
            </w:r>
            <w:r>
              <w:t xml:space="preserve"> ____________________</w:t>
            </w:r>
            <w:r/>
          </w:p>
          <w:p>
            <w:pPr>
              <w:jc w:val="both"/>
            </w:pPr>
            <w:r>
              <w:rPr>
                <w:sz w:val="22"/>
                <w:szCs w:val="22"/>
              </w:rPr>
              <w:t xml:space="preserve">(адрес места регистрации</w:t>
            </w:r>
            <w:r/>
          </w:p>
          <w:p>
            <w:pPr>
              <w:jc w:val="both"/>
            </w:pPr>
            <w:r>
              <w:t xml:space="preserve">_____________________________________________________,</w:t>
            </w:r>
            <w:r/>
          </w:p>
          <w:p>
            <w:pPr>
              <w:jc w:val="both"/>
            </w:pPr>
            <w:r>
              <w:rPr>
                <w:sz w:val="22"/>
                <w:szCs w:val="22"/>
              </w:rPr>
              <w:t xml:space="preserve">                 указывается с почтовым индексом)</w:t>
            </w:r>
            <w:r/>
          </w:p>
        </w:tc>
      </w:tr>
      <w:tr>
        <w:tblPrEx/>
        <w:trPr>
          <w:trHeight w:val="255"/>
        </w:trPr>
        <w:tc>
          <w:tcPr>
            <w:tcW w:w="3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24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паспорт серия</w:t>
            </w:r>
            <w:r>
              <w:t xml:space="preserve">______________ №______________________</w:t>
            </w:r>
            <w:r/>
          </w:p>
        </w:tc>
      </w:tr>
      <w:tr>
        <w:tblPrEx/>
        <w:trPr>
          <w:trHeight w:val="680"/>
        </w:trPr>
        <w:tc>
          <w:tcPr>
            <w:tcW w:w="3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24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выдан</w:t>
            </w:r>
            <w:r>
              <w:t xml:space="preserve"> ______________________________________________</w:t>
            </w:r>
            <w:r/>
          </w:p>
          <w:p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(дата выдачи и наименование органа, выдавшего </w:t>
            </w:r>
            <w:r>
              <w:rPr>
                <w:sz w:val="22"/>
                <w:szCs w:val="22"/>
              </w:rPr>
              <w:br/>
              <w:t xml:space="preserve">                       документ)</w:t>
            </w:r>
            <w:r/>
          </w:p>
        </w:tc>
      </w:tr>
      <w:tr>
        <w:tblPrEx/>
        <w:trPr>
          <w:trHeight w:val="255"/>
        </w:trPr>
        <w:tc>
          <w:tcPr>
            <w:tcW w:w="3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24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телефон:</w:t>
            </w:r>
            <w:r>
              <w:t xml:space="preserve"> ___________________________________________,</w:t>
            </w:r>
            <w:r/>
          </w:p>
        </w:tc>
      </w:tr>
      <w:tr>
        <w:tblPrEx/>
        <w:trPr>
          <w:trHeight w:val="255"/>
        </w:trPr>
        <w:tc>
          <w:tcPr>
            <w:tcW w:w="37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624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адрес электронной почты:</w:t>
            </w:r>
            <w:r>
              <w:t xml:space="preserve"> __________________________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Заявление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о намерении открыть специальный избирательный счет без личного присутствия (дистанционно) и согласии </w:t>
      </w:r>
      <w:r>
        <w:rPr>
          <w:sz w:val="24"/>
          <w:szCs w:val="24"/>
        </w:rPr>
        <w:t xml:space="preserve">на передачу персональных данных публичному акционерному обществу «Сбербанк России»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right="0" w:firstLine="850"/>
        <w:jc w:val="both"/>
      </w:pPr>
      <w:r>
        <w:rPr>
          <w:sz w:val="24"/>
          <w:szCs w:val="24"/>
        </w:rPr>
        <w:t xml:space="preserve">Я,</w:t>
      </w:r>
      <w:r>
        <w:t xml:space="preserve"> _____________________________________________________________________________________________, </w:t>
      </w:r>
      <w:r/>
    </w:p>
    <w:p>
      <w:pPr>
        <w:ind w:left="0" w:right="0" w:firstLine="850"/>
        <w:jc w:val="both"/>
      </w:pPr>
      <w:r>
        <w:rPr>
          <w:sz w:val="22"/>
          <w:szCs w:val="22"/>
        </w:rPr>
        <w:t xml:space="preserve">(фамилия, имя, отчество кандидата)</w:t>
      </w:r>
      <w:r/>
    </w:p>
    <w:p>
      <w:pPr>
        <w:ind w:left="0" w:right="0" w:firstLine="850"/>
        <w:jc w:val="both"/>
      </w:pPr>
      <w:r>
        <w:rPr>
          <w:sz w:val="24"/>
          <w:szCs w:val="24"/>
        </w:rPr>
        <w:t xml:space="preserve">сообщаю о намерении открыть специальный избирательный счет для формирования своего избирательного фонда без личного присутствия (дистанционно) в филиале ПАО Сбербанк  и даю согласие</w:t>
      </w:r>
      <w:r>
        <w:t xml:space="preserve">_____________________________________________________________________________________________</w:t>
      </w:r>
      <w:r/>
    </w:p>
    <w:p>
      <w:pPr>
        <w:ind w:left="0" w:right="0" w:firstLine="850"/>
        <w:jc w:val="both"/>
        <w:rPr>
          <w:sz w:val="22"/>
          <w:szCs w:val="22"/>
        </w:rPr>
      </w:pPr>
      <w:r>
        <w:t xml:space="preserve">                                                     </w:t>
      </w:r>
      <w:r>
        <w:rPr>
          <w:sz w:val="22"/>
          <w:szCs w:val="22"/>
        </w:rPr>
        <w:t xml:space="preserve"> (наименование территориальной избирательной комиссии)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передачу моих персональных данных, содержащихся в заявлении о согласии баллотироваться: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85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число, месяц и год рождения;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850"/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серия и номер паспорта гражданина Российской Федерации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0" w:right="0" w:firstLine="85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для целей открытия специального избирательного счета без моего присутствия (дистанционно) в филиале ПАО Сбербанк, а также на получение СМС</w:t>
      </w:r>
      <w:r>
        <w:rPr>
          <w:sz w:val="24"/>
          <w:szCs w:val="24"/>
          <w:shd w:val="clear" w:color="auto" w:fill="ffffff"/>
        </w:rPr>
        <w:noBreakHyphen/>
        <w:t xml:space="preserve">уведомлений.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t xml:space="preserve">_____________________________________________________________________________________________________ </w:t>
      </w:r>
      <w:r>
        <w:rPr>
          <w:sz w:val="22"/>
          <w:szCs w:val="22"/>
        </w:rPr>
        <w:t xml:space="preserve">(наименование территориальной избирательной комиссии)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имеет право на передачу моих перс</w:t>
      </w:r>
      <w:r>
        <w:rPr>
          <w:sz w:val="24"/>
          <w:szCs w:val="24"/>
        </w:rPr>
        <w:t xml:space="preserve">ональных данных публичному акционерному обществу «Сбербанк России», в том числе с использованием машинных носителей информации, по каналам связи и (или) в виде бумажных документов с соблюдением мер, обеспечивающих их защиту от несанкционированного доступа.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</w:pPr>
      <w:r>
        <w:rPr>
          <w:sz w:val="24"/>
          <w:szCs w:val="24"/>
        </w:rPr>
      </w:r>
      <w:r/>
    </w:p>
    <w:p>
      <w:pPr>
        <w:ind w:left="0" w:righ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Соглашаюсь с передачей персональных данных добровольно до_______________20__года</w:t>
      </w:r>
      <w:r>
        <w:rPr>
          <w:sz w:val="24"/>
          <w:szCs w:val="24"/>
          <w:vertAlign w:val="superscript"/>
        </w:rPr>
        <w:footnoteReference w:id="5"/>
        <w:t xml:space="preserve">*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850"/>
        <w:jc w:val="both"/>
        <w:rPr>
          <w:highlight w:val="none"/>
        </w:rPr>
      </w:pPr>
      <w:r>
        <w:rPr>
          <w:sz w:val="24"/>
          <w:szCs w:val="24"/>
        </w:rPr>
        <w:t xml:space="preserve">С порядком открытия специального избирательного счета для формирования своего избирательного фонда без личного присутствия (дистанционно) в филиале ПАО Сбербанк  ознакомлен (а) и согласен (</w:t>
      </w:r>
      <w:r>
        <w:rPr>
          <w:sz w:val="24"/>
          <w:szCs w:val="24"/>
        </w:rPr>
        <w:t xml:space="preserve">согласна</w:t>
      </w:r>
      <w:r>
        <w:rPr>
          <w:sz w:val="24"/>
          <w:szCs w:val="24"/>
        </w:rPr>
        <w:t xml:space="preserve">).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850"/>
        <w:jc w:val="both"/>
      </w:pPr>
      <w:r/>
      <w:r/>
    </w:p>
    <w:p>
      <w:pPr>
        <w:ind w:left="0" w:right="0" w:firstLine="850"/>
        <w:jc w:val="both"/>
      </w:pPr>
      <w:r/>
      <w:r/>
    </w:p>
    <w:p>
      <w:pPr>
        <w:ind w:left="0" w:right="0" w:firstLine="850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0" w:firstLine="0"/>
        <w:jc w:val="both"/>
      </w:pPr>
      <w:r>
        <w:t xml:space="preserve"> __________________   /_________________________________/                     «_____»_____________ 20___ г.</w:t>
      </w:r>
      <w:r/>
    </w:p>
    <w:p>
      <w:pPr>
        <w:ind w:left="0" w:right="0" w:firstLine="850"/>
        <w:jc w:val="both"/>
      </w:pPr>
      <w:r>
        <w:t xml:space="preserve">    </w:t>
      </w:r>
      <w:r>
        <w:rPr>
          <w:sz w:val="22"/>
          <w:szCs w:val="22"/>
        </w:rPr>
        <w:t xml:space="preserve"> (подпись)      (инициалы, фамилия кандидата) </w:t>
      </w:r>
      <w:r/>
    </w:p>
    <w:p>
      <w:pPr>
        <w:ind w:left="0" w:right="0" w:firstLine="850"/>
        <w:jc w:val="both"/>
      </w:pPr>
      <w:r/>
      <w:r/>
    </w:p>
    <w:p>
      <w:pPr>
        <w:jc w:val="both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077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3"/>
      </w:tblGrid>
      <w:tr>
        <w:tblPrEx/>
        <w:trPr>
          <w:trHeight w:val="34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3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Приложение 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</w:t>
            </w:r>
            <w:r>
              <w:rPr>
                <w:sz w:val="24"/>
                <w:szCs w:val="24"/>
                <w:lang w:val="ru-RU" w:eastAsia="ru-RU"/>
              </w:rPr>
              <w:t xml:space="preserve">к </w:t>
            </w:r>
            <w:r>
              <w:rPr>
                <w:sz w:val="24"/>
                <w:szCs w:val="24"/>
              </w:rPr>
              <w:t xml:space="preserve">постановлению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территориальной избирательной комиссией Малосердобинского района Пензенской области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jc w:val="center"/>
              <w:rPr>
                <w:color w:val="ff0000"/>
              </w:rPr>
            </w:pPr>
            <w:r>
              <w:rPr>
                <w:b w:val="0"/>
                <w:bCs w:val="0"/>
                <w:sz w:val="22"/>
                <w:szCs w:val="22"/>
                <w:u w:val="single"/>
                <w:lang w:val="ru-RU" w:eastAsia="ru-RU"/>
              </w:rPr>
              <w:t xml:space="preserve">о</w:t>
            </w:r>
            <w:r>
              <w:rPr>
                <w:b w:val="0"/>
                <w:bCs w:val="0"/>
                <w:color w:val="ff0000"/>
                <w:sz w:val="22"/>
                <w:szCs w:val="22"/>
                <w:u w:val="single"/>
                <w:lang w:val="ru-RU" w:eastAsia="ru-RU"/>
              </w:rPr>
              <w:t xml:space="preserve">т 22.06.2026 г. № 9/24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территориальную </w:t>
      </w:r>
      <w:r>
        <w:rPr>
          <w:sz w:val="28"/>
          <w:szCs w:val="28"/>
        </w:rPr>
        <w:t xml:space="preserve">избирательную комиссию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Малосердобинского района Пензенской области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(наименование)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от</w:t>
      </w:r>
      <w:r>
        <w:rPr>
          <w:sz w:val="24"/>
          <w:szCs w:val="24"/>
        </w:rPr>
        <w:t xml:space="preserve"> 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(фамилия, имя, отчество кандидата)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right"/>
        <w:rPr>
          <w:rFonts w:ascii="Calibri" w:hAnsi="Calibri" w:cs="Times New Roman,Bold"/>
          <w:b/>
          <w:bCs/>
          <w:sz w:val="28"/>
          <w:szCs w:val="28"/>
          <w:lang w:val="en-US"/>
        </w:rPr>
      </w:pP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</w:p>
    <w:p>
      <w:pPr>
        <w:jc w:val="both"/>
        <w:rPr>
          <w:rFonts w:ascii="Calibri" w:hAnsi="Calibri" w:cs="Times New Roman,Bold"/>
          <w:b/>
          <w:bCs/>
          <w:sz w:val="28"/>
          <w:szCs w:val="28"/>
          <w:lang w:val="en-US"/>
        </w:rPr>
      </w:pP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</w:p>
    <w:p>
      <w:pPr>
        <w:jc w:val="both"/>
        <w:rPr>
          <w:rFonts w:ascii="Calibri" w:hAnsi="Calibri" w:cs="Times New Roman,Bold"/>
          <w:b/>
          <w:bCs/>
          <w:sz w:val="28"/>
          <w:szCs w:val="28"/>
          <w:lang w:val="en-US"/>
        </w:rPr>
      </w:pP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</w:p>
    <w:p>
      <w:pPr>
        <w:jc w:val="both"/>
        <w:rPr>
          <w:rFonts w:ascii="Calibri" w:hAnsi="Calibri" w:cs="Times New Roman,Bold"/>
          <w:b/>
          <w:bCs/>
          <w:sz w:val="28"/>
          <w:szCs w:val="28"/>
          <w:lang w:val="en-US"/>
        </w:rPr>
      </w:pP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  <w:r>
        <w:rPr>
          <w:rFonts w:ascii="Calibri" w:hAnsi="Calibri" w:cs="Times New Roman,Bold"/>
          <w:b/>
          <w:bCs/>
          <w:sz w:val="28"/>
          <w:szCs w:val="28"/>
          <w:lang w:val="en-US"/>
        </w:rPr>
      </w:r>
    </w:p>
    <w:p>
      <w:pPr>
        <w:jc w:val="center"/>
        <w:rPr>
          <w:rFonts w:ascii="Calibri" w:hAnsi="Calibri" w:cs="Times New Roman,Bold"/>
          <w:bCs/>
          <w:sz w:val="28"/>
          <w:szCs w:val="28"/>
          <w:lang w:val="en-US"/>
        </w:rPr>
      </w:pPr>
      <w:r>
        <w:rPr>
          <w:rFonts w:ascii="Times New Roman,Bold" w:hAnsi="Times New Roman,Bold" w:cs="Times New Roman,Bold"/>
          <w:bCs/>
          <w:sz w:val="28"/>
          <w:szCs w:val="28"/>
        </w:rPr>
        <w:t xml:space="preserve">ЗАЯВЛЕНИЕ</w:t>
      </w:r>
      <w:r>
        <w:rPr>
          <w:rFonts w:ascii="Calibri" w:hAnsi="Calibri" w:cs="Times New Roman,Bold"/>
          <w:bCs/>
          <w:sz w:val="28"/>
          <w:szCs w:val="28"/>
          <w:lang w:val="en-US"/>
        </w:rPr>
      </w:r>
      <w:r>
        <w:rPr>
          <w:rFonts w:ascii="Calibri" w:hAnsi="Calibri" w:cs="Times New Roman,Bold"/>
          <w:bCs/>
          <w:sz w:val="28"/>
          <w:szCs w:val="28"/>
          <w:lang w:val="en-US"/>
        </w:rPr>
      </w:r>
    </w:p>
    <w:p>
      <w:pPr>
        <w:jc w:val="both"/>
        <w:rPr>
          <w:rFonts w:ascii="Calibri" w:hAnsi="Calibri" w:cs="Times New Roman,Bold"/>
          <w:bCs/>
          <w:sz w:val="28"/>
          <w:szCs w:val="28"/>
          <w:lang w:val="en-US"/>
        </w:rPr>
      </w:pPr>
      <w:r>
        <w:rPr>
          <w:rFonts w:ascii="Calibri" w:hAnsi="Calibri" w:cs="Times New Roman,Bold"/>
          <w:bCs/>
          <w:sz w:val="28"/>
          <w:szCs w:val="28"/>
          <w:lang w:val="en-US"/>
        </w:rPr>
      </w:r>
      <w:r>
        <w:rPr>
          <w:rFonts w:ascii="Calibri" w:hAnsi="Calibri" w:cs="Times New Roman,Bold"/>
          <w:bCs/>
          <w:sz w:val="28"/>
          <w:szCs w:val="28"/>
          <w:lang w:val="en-US"/>
        </w:rPr>
      </w:r>
      <w:r>
        <w:rPr>
          <w:rFonts w:ascii="Calibri" w:hAnsi="Calibri" w:cs="Times New Roman,Bold"/>
          <w:bCs/>
          <w:sz w:val="28"/>
          <w:szCs w:val="28"/>
          <w:lang w:val="en-US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сообщаю, что я не произвожу финансирование своей избирательной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кампании на дополнительных выборах депутата Комитета местного самоуправления сельского поселения Малосердобинского сельсовета Муниципального района Малосердобинского района Пензенской области четвертого созыва по одномандатному избирательному округу №</w:t>
      </w:r>
      <w:r>
        <w:rPr>
          <w:sz w:val="28"/>
          <w:szCs w:val="28"/>
        </w:rPr>
        <w:t xml:space="preserve">_____ </w:t>
      </w:r>
      <w:r>
        <w:rPr>
          <w:sz w:val="28"/>
          <w:szCs w:val="28"/>
        </w:rPr>
        <w:t xml:space="preserve">и не открываю специальный избирательный счет.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 ___________       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(подпись) </w:t>
      </w:r>
      <w:r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(Фамилия И.О.)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«____»_______________ 20____г.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7" w:h="16840" w:orient="portrait"/>
      <w:pgMar w:top="1134" w:right="851" w:bottom="1134" w:left="1701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Verdana">
    <w:panose1 w:val="020B0606030504020204"/>
  </w:font>
  <w:font w:name="Courier New">
    <w:panose1 w:val="02070409020205020404"/>
  </w:font>
  <w:font w:name="Times New Roman,Bold">
    <w:panose1 w:val="02000603000000000000"/>
  </w:font>
  <w:font w:name="Times New Roman">
    <w:panose1 w:val="02020603050405020304"/>
  </w:font>
  <w:font w:name="Calibri">
    <w:panose1 w:val="020F0502020204030204"/>
  </w:font>
  <w:font w:name="Tahoma">
    <w:panose1 w:val="020B060604050402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3"/>
      <w:jc w:val="center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9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</w:t>
    </w:r>
    <w:r>
      <w:fldChar w:fldCharType="end"/>
    </w:r>
    <w:r/>
  </w:p>
  <w:p>
    <w:pPr>
      <w:pStyle w:val="993"/>
      <w:jc w:val="right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62"/>
      </w:pPr>
      <w:r>
        <w:rPr>
          <w:rStyle w:val="964"/>
        </w:rPr>
        <w:footnoteRef/>
      </w:r>
      <w:r>
        <w:t xml:space="preserve"> Сервис дистанционного открытия специального избирательного счета предоставляется пользователям мобильного приложения ПАО Сбербанк для операционных систем </w:t>
      </w:r>
      <w:r>
        <w:t xml:space="preserve">iOS</w:t>
      </w:r>
      <w:r>
        <w:t xml:space="preserve"> и </w:t>
      </w:r>
      <w:r>
        <w:t xml:space="preserve">Android</w:t>
      </w:r>
      <w:r>
        <w:t xml:space="preserve">. Данная услуга не доступна при использовании </w:t>
      </w:r>
      <w:r>
        <w:t xml:space="preserve">web</w:t>
      </w:r>
      <w:r>
        <w:t xml:space="preserve">-версии приложения </w:t>
      </w:r>
      <w:r>
        <w:t xml:space="preserve">СберБанк</w:t>
      </w:r>
      <w:r>
        <w:t xml:space="preserve"> Онлайн (на официальном сайте ПАО Сбербанк).</w:t>
      </w:r>
      <w:r/>
    </w:p>
  </w:footnote>
  <w:footnote w:id="3">
    <w:p>
      <w:pPr>
        <w:pStyle w:val="962"/>
      </w:pPr>
      <w:r>
        <w:rPr>
          <w:rStyle w:val="964"/>
        </w:rPr>
        <w:footnoteRef/>
      </w:r>
      <w:r>
        <w:t xml:space="preserve"> Чтобы сменить номер мобильного телефона и/или адрес электронной почты для доступа в мобильное приложение кандидату необходимо обратиться в офис ПАО Сбербанк.</w:t>
      </w:r>
      <w:r/>
    </w:p>
  </w:footnote>
  <w:footnote w:id="4">
    <w:p>
      <w:pPr>
        <w:pStyle w:val="962"/>
        <w:rPr>
          <w:b/>
          <w:sz w:val="16"/>
        </w:rPr>
      </w:pPr>
      <w:r>
        <w:rPr>
          <w:rStyle w:val="964"/>
        </w:rPr>
        <w:footnoteRef/>
      </w:r>
      <w:r>
        <w:t xml:space="preserve"> </w:t>
      </w:r>
      <w:r>
        <w:rPr>
          <w:rStyle w:val="1051"/>
          <w:rFonts w:eastAsiaTheme="majorEastAsia"/>
          <w:b w:val="0"/>
          <w:sz w:val="16"/>
          <w:shd w:val="clear" w:color="auto" w:fill="ffffff"/>
        </w:rPr>
        <w:t xml:space="preserve">Форма заявления и порядок его подписания устанавливаются правилами банковского обслуживания ПАО Сбербанк.</w:t>
      </w:r>
      <w:r>
        <w:rPr>
          <w:b/>
          <w:sz w:val="16"/>
        </w:rPr>
      </w:r>
      <w:r>
        <w:rPr>
          <w:b/>
          <w:sz w:val="16"/>
        </w:rPr>
      </w:r>
    </w:p>
  </w:footnote>
  <w:footnote w:id="5">
    <w:p>
      <w:pPr>
        <w:pStyle w:val="962"/>
        <w:jc w:val="both"/>
        <w:rPr>
          <w:sz w:val="18"/>
          <w:szCs w:val="18"/>
          <w:shd w:val="clear" w:color="auto" w:fill="ffffff"/>
        </w:rPr>
      </w:pPr>
      <w:r>
        <w:rPr>
          <w:rStyle w:val="964"/>
          <w:sz w:val="18"/>
          <w:szCs w:val="18"/>
        </w:rPr>
        <w:t xml:space="preserve">*</w:t>
      </w:r>
      <w:r>
        <w:rPr>
          <w:sz w:val="18"/>
          <w:szCs w:val="18"/>
        </w:rPr>
        <w:t xml:space="preserve"> Указывается дата не позднее </w:t>
      </w:r>
      <w:r>
        <w:rPr>
          <w:sz w:val="18"/>
          <w:szCs w:val="18"/>
          <w:shd w:val="clear" w:color="auto" w:fill="ffffff"/>
        </w:rPr>
        <w:t xml:space="preserve">даты окончания периода представления документов, необходимых для регистрации кандидатов на выборах в соответствии с законом.</w:t>
      </w:r>
      <w:r>
        <w:rPr>
          <w:sz w:val="18"/>
          <w:szCs w:val="18"/>
          <w:shd w:val="clear" w:color="auto" w:fill="ffffff"/>
        </w:rPr>
      </w:r>
      <w:r>
        <w:rPr>
          <w:sz w:val="18"/>
          <w:szCs w:val="18"/>
          <w:shd w:val="clear" w:color="auto" w:fill="ffffff"/>
        </w:rPr>
      </w:r>
    </w:p>
    <w:p>
      <w:pPr>
        <w:pStyle w:val="962"/>
        <w:jc w:val="both"/>
        <w:rPr>
          <w:sz w:val="6"/>
          <w:shd w:val="clear" w:color="auto" w:fill="ffffff"/>
        </w:rPr>
      </w:pPr>
      <w:r>
        <w:rPr>
          <w:sz w:val="6"/>
          <w:shd w:val="clear" w:color="auto" w:fill="ffffff"/>
        </w:rPr>
      </w:r>
      <w:r>
        <w:rPr>
          <w:sz w:val="6"/>
          <w:shd w:val="clear" w:color="auto" w:fill="ffffff"/>
        </w:rPr>
      </w:r>
      <w:r>
        <w:rPr>
          <w:sz w:val="6"/>
          <w:shd w:val="clear" w:color="auto" w:fill="ffffff"/>
        </w:rPr>
      </w:r>
    </w:p>
    <w:p>
      <w:pPr>
        <w:pStyle w:val="962"/>
        <w:jc w:val="both"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jc w:val="right"/>
      <w:rPr>
        <w:sz w:val="24"/>
        <w:szCs w:val="24"/>
      </w:rPr>
    </w:pPr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5">
    <w:multiLevelType w:val="hybridMultilevel"/>
    <w:lvl w:ilvl="0">
      <w:start w:val="5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704" w:hanging="984"/>
        <w:tabs>
          <w:tab w:val="num" w:pos="1704" w:leader="none"/>
        </w:tabs>
      </w:pPr>
      <w:rPr>
        <w:rFonts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1080" w:hanging="360"/>
        <w:tabs>
          <w:tab w:val="num" w:pos="1080" w:leader="none"/>
        </w:tabs>
      </w:pPr>
      <w:rPr>
        <w:rFonts w:ascii="Verdana" w:hAnsi="Verdan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  <w:rPr>
        <w:rFonts w:cs="Times New Roman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11"/>
  </w:num>
  <w:num w:numId="5">
    <w:abstractNumId w:val="6"/>
  </w:num>
  <w:num w:numId="6">
    <w:abstractNumId w:val="16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13"/>
  </w:num>
  <w:num w:numId="12">
    <w:abstractNumId w:val="15"/>
  </w:num>
  <w:num w:numId="13">
    <w:abstractNumId w:val="18"/>
  </w:num>
  <w:num w:numId="14">
    <w:abstractNumId w:val="17"/>
  </w:num>
  <w:num w:numId="15">
    <w:abstractNumId w:val="1"/>
  </w:num>
  <w:num w:numId="16">
    <w:abstractNumId w:val="20"/>
  </w:num>
  <w:num w:numId="17">
    <w:abstractNumId w:val="2"/>
  </w:num>
  <w:num w:numId="18">
    <w:abstractNumId w:val="10"/>
  </w:num>
  <w:num w:numId="19">
    <w:abstractNumId w:val="7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1">
    <w:name w:val="Heading 1"/>
    <w:basedOn w:val="979"/>
    <w:next w:val="979"/>
    <w:link w:val="80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02">
    <w:name w:val="Heading 1 Char"/>
    <w:link w:val="801"/>
    <w:uiPriority w:val="9"/>
    <w:rPr>
      <w:rFonts w:ascii="Arial" w:hAnsi="Arial" w:eastAsia="Arial" w:cs="Arial"/>
      <w:sz w:val="40"/>
      <w:szCs w:val="40"/>
    </w:rPr>
  </w:style>
  <w:style w:type="paragraph" w:styleId="803">
    <w:name w:val="Heading 2"/>
    <w:basedOn w:val="979"/>
    <w:next w:val="979"/>
    <w:link w:val="8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04">
    <w:name w:val="Heading 2 Char"/>
    <w:link w:val="803"/>
    <w:uiPriority w:val="9"/>
    <w:rPr>
      <w:rFonts w:ascii="Arial" w:hAnsi="Arial" w:eastAsia="Arial" w:cs="Arial"/>
      <w:sz w:val="34"/>
    </w:rPr>
  </w:style>
  <w:style w:type="paragraph" w:styleId="805">
    <w:name w:val="Heading 3"/>
    <w:basedOn w:val="979"/>
    <w:next w:val="979"/>
    <w:link w:val="8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06">
    <w:name w:val="Heading 3 Char"/>
    <w:link w:val="805"/>
    <w:uiPriority w:val="9"/>
    <w:rPr>
      <w:rFonts w:ascii="Arial" w:hAnsi="Arial" w:eastAsia="Arial" w:cs="Arial"/>
      <w:sz w:val="30"/>
      <w:szCs w:val="30"/>
    </w:rPr>
  </w:style>
  <w:style w:type="paragraph" w:styleId="807">
    <w:name w:val="Heading 4"/>
    <w:basedOn w:val="979"/>
    <w:next w:val="979"/>
    <w:link w:val="8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8">
    <w:name w:val="Heading 4 Char"/>
    <w:link w:val="807"/>
    <w:uiPriority w:val="9"/>
    <w:rPr>
      <w:rFonts w:ascii="Arial" w:hAnsi="Arial" w:eastAsia="Arial" w:cs="Arial"/>
      <w:b/>
      <w:bCs/>
      <w:sz w:val="26"/>
      <w:szCs w:val="26"/>
    </w:rPr>
  </w:style>
  <w:style w:type="paragraph" w:styleId="809">
    <w:name w:val="Heading 5"/>
    <w:basedOn w:val="979"/>
    <w:next w:val="979"/>
    <w:link w:val="8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10">
    <w:name w:val="Heading 5 Char"/>
    <w:link w:val="809"/>
    <w:uiPriority w:val="9"/>
    <w:rPr>
      <w:rFonts w:ascii="Arial" w:hAnsi="Arial" w:eastAsia="Arial" w:cs="Arial"/>
      <w:b/>
      <w:bCs/>
      <w:sz w:val="24"/>
      <w:szCs w:val="24"/>
    </w:rPr>
  </w:style>
  <w:style w:type="paragraph" w:styleId="811">
    <w:name w:val="Heading 6"/>
    <w:basedOn w:val="979"/>
    <w:next w:val="979"/>
    <w:link w:val="8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2">
    <w:name w:val="Heading 6 Char"/>
    <w:link w:val="811"/>
    <w:uiPriority w:val="9"/>
    <w:rPr>
      <w:rFonts w:ascii="Arial" w:hAnsi="Arial" w:eastAsia="Arial" w:cs="Arial"/>
      <w:b/>
      <w:bCs/>
      <w:sz w:val="22"/>
      <w:szCs w:val="22"/>
    </w:rPr>
  </w:style>
  <w:style w:type="paragraph" w:styleId="813">
    <w:name w:val="Heading 7"/>
    <w:basedOn w:val="979"/>
    <w:next w:val="979"/>
    <w:link w:val="8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4">
    <w:name w:val="Heading 7 Char"/>
    <w:link w:val="8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5">
    <w:name w:val="Heading 8"/>
    <w:basedOn w:val="979"/>
    <w:next w:val="979"/>
    <w:link w:val="8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6">
    <w:name w:val="Heading 8 Char"/>
    <w:link w:val="815"/>
    <w:uiPriority w:val="9"/>
    <w:rPr>
      <w:rFonts w:ascii="Arial" w:hAnsi="Arial" w:eastAsia="Arial" w:cs="Arial"/>
      <w:i/>
      <w:iCs/>
      <w:sz w:val="22"/>
      <w:szCs w:val="22"/>
    </w:rPr>
  </w:style>
  <w:style w:type="paragraph" w:styleId="817">
    <w:name w:val="Heading 9"/>
    <w:basedOn w:val="979"/>
    <w:next w:val="979"/>
    <w:link w:val="8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8">
    <w:name w:val="Heading 9 Char"/>
    <w:link w:val="817"/>
    <w:uiPriority w:val="9"/>
    <w:rPr>
      <w:rFonts w:ascii="Arial" w:hAnsi="Arial" w:eastAsia="Arial" w:cs="Arial"/>
      <w:i/>
      <w:iCs/>
      <w:sz w:val="21"/>
      <w:szCs w:val="21"/>
    </w:rPr>
  </w:style>
  <w:style w:type="paragraph" w:styleId="819">
    <w:name w:val="List Paragraph"/>
    <w:basedOn w:val="979"/>
    <w:uiPriority w:val="34"/>
    <w:qFormat/>
    <w:pPr>
      <w:contextualSpacing/>
      <w:ind w:left="720"/>
    </w:pPr>
  </w:style>
  <w:style w:type="paragraph" w:styleId="820">
    <w:name w:val="No Spacing"/>
    <w:uiPriority w:val="1"/>
    <w:qFormat/>
    <w:pPr>
      <w:spacing w:before="0" w:after="0" w:line="240" w:lineRule="auto"/>
    </w:pPr>
  </w:style>
  <w:style w:type="paragraph" w:styleId="821">
    <w:name w:val="Title"/>
    <w:basedOn w:val="979"/>
    <w:next w:val="979"/>
    <w:link w:val="8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2">
    <w:name w:val="Title Char"/>
    <w:link w:val="821"/>
    <w:uiPriority w:val="10"/>
    <w:rPr>
      <w:sz w:val="48"/>
      <w:szCs w:val="48"/>
    </w:rPr>
  </w:style>
  <w:style w:type="paragraph" w:styleId="823">
    <w:name w:val="Subtitle"/>
    <w:basedOn w:val="979"/>
    <w:next w:val="979"/>
    <w:link w:val="824"/>
    <w:uiPriority w:val="11"/>
    <w:qFormat/>
    <w:pPr>
      <w:spacing w:before="200" w:after="200"/>
    </w:pPr>
    <w:rPr>
      <w:sz w:val="24"/>
      <w:szCs w:val="24"/>
    </w:rPr>
  </w:style>
  <w:style w:type="character" w:styleId="824">
    <w:name w:val="Subtitle Char"/>
    <w:link w:val="823"/>
    <w:uiPriority w:val="11"/>
    <w:rPr>
      <w:sz w:val="24"/>
      <w:szCs w:val="24"/>
    </w:rPr>
  </w:style>
  <w:style w:type="paragraph" w:styleId="825">
    <w:name w:val="Quote"/>
    <w:basedOn w:val="979"/>
    <w:next w:val="979"/>
    <w:link w:val="826"/>
    <w:uiPriority w:val="29"/>
    <w:qFormat/>
    <w:pPr>
      <w:ind w:left="720" w:right="720"/>
    </w:pPr>
    <w:rPr>
      <w:i/>
    </w:rPr>
  </w:style>
  <w:style w:type="character" w:styleId="826">
    <w:name w:val="Quote Char"/>
    <w:link w:val="825"/>
    <w:uiPriority w:val="29"/>
    <w:rPr>
      <w:i/>
    </w:rPr>
  </w:style>
  <w:style w:type="paragraph" w:styleId="827">
    <w:name w:val="Intense Quote"/>
    <w:basedOn w:val="979"/>
    <w:next w:val="979"/>
    <w:link w:val="8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8">
    <w:name w:val="Intense Quote Char"/>
    <w:link w:val="827"/>
    <w:uiPriority w:val="30"/>
    <w:rPr>
      <w:i/>
    </w:rPr>
  </w:style>
  <w:style w:type="paragraph" w:styleId="829">
    <w:name w:val="Header"/>
    <w:basedOn w:val="979"/>
    <w:link w:val="8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0">
    <w:name w:val="Header Char"/>
    <w:link w:val="829"/>
    <w:uiPriority w:val="99"/>
  </w:style>
  <w:style w:type="paragraph" w:styleId="831">
    <w:name w:val="Footer"/>
    <w:basedOn w:val="979"/>
    <w:link w:val="8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2">
    <w:name w:val="Footer Char"/>
    <w:link w:val="831"/>
    <w:uiPriority w:val="99"/>
  </w:style>
  <w:style w:type="paragraph" w:styleId="833">
    <w:name w:val="Caption"/>
    <w:basedOn w:val="979"/>
    <w:next w:val="979"/>
    <w:link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4">
    <w:name w:val="Caption Char"/>
    <w:link w:val="833"/>
    <w:uiPriority w:val="35"/>
    <w:rPr>
      <w:b/>
      <w:bCs/>
      <w:color w:val="4f81bd" w:themeColor="accent1"/>
      <w:sz w:val="18"/>
      <w:szCs w:val="18"/>
    </w:rPr>
  </w:style>
  <w:style w:type="table" w:styleId="83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1">
    <w:name w:val="Hyperlink"/>
    <w:uiPriority w:val="99"/>
    <w:unhideWhenUsed/>
    <w:rPr>
      <w:color w:val="0000ff" w:themeColor="hyperlink"/>
      <w:u w:val="single"/>
    </w:rPr>
  </w:style>
  <w:style w:type="paragraph" w:styleId="962">
    <w:name w:val="footnote text"/>
    <w:basedOn w:val="979"/>
    <w:link w:val="963"/>
    <w:uiPriority w:val="99"/>
    <w:semiHidden/>
    <w:unhideWhenUsed/>
    <w:pPr>
      <w:spacing w:after="40" w:line="240" w:lineRule="auto"/>
    </w:pPr>
    <w:rPr>
      <w:sz w:val="18"/>
    </w:rPr>
  </w:style>
  <w:style w:type="character" w:styleId="963">
    <w:name w:val="Footnote Text Char"/>
    <w:link w:val="962"/>
    <w:uiPriority w:val="99"/>
    <w:rPr>
      <w:sz w:val="18"/>
    </w:rPr>
  </w:style>
  <w:style w:type="character" w:styleId="964">
    <w:name w:val="footnote reference"/>
    <w:uiPriority w:val="99"/>
    <w:unhideWhenUsed/>
    <w:rPr>
      <w:vertAlign w:val="superscript"/>
    </w:rPr>
  </w:style>
  <w:style w:type="paragraph" w:styleId="965">
    <w:name w:val="endnote text"/>
    <w:basedOn w:val="979"/>
    <w:link w:val="966"/>
    <w:uiPriority w:val="99"/>
    <w:semiHidden/>
    <w:unhideWhenUsed/>
    <w:pPr>
      <w:spacing w:after="0" w:line="240" w:lineRule="auto"/>
    </w:pPr>
    <w:rPr>
      <w:sz w:val="20"/>
    </w:rPr>
  </w:style>
  <w:style w:type="character" w:styleId="966">
    <w:name w:val="Endnote Text Char"/>
    <w:link w:val="965"/>
    <w:uiPriority w:val="99"/>
    <w:rPr>
      <w:sz w:val="20"/>
    </w:rPr>
  </w:style>
  <w:style w:type="character" w:styleId="967">
    <w:name w:val="endnote reference"/>
    <w:uiPriority w:val="99"/>
    <w:semiHidden/>
    <w:unhideWhenUsed/>
    <w:rPr>
      <w:vertAlign w:val="superscript"/>
    </w:rPr>
  </w:style>
  <w:style w:type="paragraph" w:styleId="968">
    <w:name w:val="toc 1"/>
    <w:basedOn w:val="979"/>
    <w:next w:val="979"/>
    <w:uiPriority w:val="39"/>
    <w:unhideWhenUsed/>
    <w:pPr>
      <w:ind w:left="0" w:right="0" w:firstLine="0"/>
      <w:spacing w:after="57"/>
    </w:pPr>
  </w:style>
  <w:style w:type="paragraph" w:styleId="969">
    <w:name w:val="toc 2"/>
    <w:basedOn w:val="979"/>
    <w:next w:val="979"/>
    <w:uiPriority w:val="39"/>
    <w:unhideWhenUsed/>
    <w:pPr>
      <w:ind w:left="283" w:right="0" w:firstLine="0"/>
      <w:spacing w:after="57"/>
    </w:pPr>
  </w:style>
  <w:style w:type="paragraph" w:styleId="970">
    <w:name w:val="toc 3"/>
    <w:basedOn w:val="979"/>
    <w:next w:val="979"/>
    <w:uiPriority w:val="39"/>
    <w:unhideWhenUsed/>
    <w:pPr>
      <w:ind w:left="567" w:right="0" w:firstLine="0"/>
      <w:spacing w:after="57"/>
    </w:pPr>
  </w:style>
  <w:style w:type="paragraph" w:styleId="971">
    <w:name w:val="toc 4"/>
    <w:basedOn w:val="979"/>
    <w:next w:val="979"/>
    <w:uiPriority w:val="39"/>
    <w:unhideWhenUsed/>
    <w:pPr>
      <w:ind w:left="850" w:right="0" w:firstLine="0"/>
      <w:spacing w:after="57"/>
    </w:pPr>
  </w:style>
  <w:style w:type="paragraph" w:styleId="972">
    <w:name w:val="toc 5"/>
    <w:basedOn w:val="979"/>
    <w:next w:val="979"/>
    <w:uiPriority w:val="39"/>
    <w:unhideWhenUsed/>
    <w:pPr>
      <w:ind w:left="1134" w:right="0" w:firstLine="0"/>
      <w:spacing w:after="57"/>
    </w:pPr>
  </w:style>
  <w:style w:type="paragraph" w:styleId="973">
    <w:name w:val="toc 6"/>
    <w:basedOn w:val="979"/>
    <w:next w:val="979"/>
    <w:uiPriority w:val="39"/>
    <w:unhideWhenUsed/>
    <w:pPr>
      <w:ind w:left="1417" w:right="0" w:firstLine="0"/>
      <w:spacing w:after="57"/>
    </w:pPr>
  </w:style>
  <w:style w:type="paragraph" w:styleId="974">
    <w:name w:val="toc 7"/>
    <w:basedOn w:val="979"/>
    <w:next w:val="979"/>
    <w:uiPriority w:val="39"/>
    <w:unhideWhenUsed/>
    <w:pPr>
      <w:ind w:left="1701" w:right="0" w:firstLine="0"/>
      <w:spacing w:after="57"/>
    </w:pPr>
  </w:style>
  <w:style w:type="paragraph" w:styleId="975">
    <w:name w:val="toc 8"/>
    <w:basedOn w:val="979"/>
    <w:next w:val="979"/>
    <w:uiPriority w:val="39"/>
    <w:unhideWhenUsed/>
    <w:pPr>
      <w:ind w:left="1984" w:right="0" w:firstLine="0"/>
      <w:spacing w:after="57"/>
    </w:pPr>
  </w:style>
  <w:style w:type="paragraph" w:styleId="976">
    <w:name w:val="toc 9"/>
    <w:basedOn w:val="979"/>
    <w:next w:val="979"/>
    <w:uiPriority w:val="39"/>
    <w:unhideWhenUsed/>
    <w:pPr>
      <w:ind w:left="2268" w:right="0" w:firstLine="0"/>
      <w:spacing w:after="57"/>
    </w:pPr>
  </w:style>
  <w:style w:type="paragraph" w:styleId="977">
    <w:name w:val="TOC Heading"/>
    <w:uiPriority w:val="39"/>
    <w:unhideWhenUsed/>
  </w:style>
  <w:style w:type="paragraph" w:styleId="978">
    <w:name w:val="table of figures"/>
    <w:basedOn w:val="979"/>
    <w:next w:val="979"/>
    <w:uiPriority w:val="99"/>
    <w:unhideWhenUsed/>
    <w:pPr>
      <w:spacing w:after="0" w:afterAutospacing="0"/>
    </w:pPr>
  </w:style>
  <w:style w:type="paragraph" w:styleId="979" w:default="1">
    <w:name w:val="Normal"/>
    <w:next w:val="979"/>
    <w:link w:val="979"/>
    <w:qFormat/>
    <w:rPr>
      <w:lang w:val="ru-RU" w:eastAsia="ru-RU" w:bidi="ar-SA"/>
    </w:rPr>
  </w:style>
  <w:style w:type="paragraph" w:styleId="980">
    <w:name w:val="Заголовок 1"/>
    <w:basedOn w:val="979"/>
    <w:next w:val="979"/>
    <w:link w:val="1010"/>
    <w:uiPriority w:val="99"/>
    <w:qFormat/>
    <w:pPr>
      <w:ind w:firstLine="720"/>
      <w:jc w:val="center"/>
      <w:keepNext/>
      <w:outlineLvl w:val="0"/>
    </w:pPr>
    <w:rPr>
      <w:b/>
      <w:bCs/>
      <w:sz w:val="24"/>
      <w:szCs w:val="24"/>
      <w:lang w:val="en-US" w:eastAsia="en-US"/>
    </w:rPr>
  </w:style>
  <w:style w:type="paragraph" w:styleId="981">
    <w:name w:val="Заголовок 2"/>
    <w:basedOn w:val="979"/>
    <w:next w:val="979"/>
    <w:link w:val="1011"/>
    <w:uiPriority w:val="99"/>
    <w:qFormat/>
    <w:pPr>
      <w:ind w:firstLine="868"/>
      <w:keepNext/>
      <w:outlineLvl w:val="1"/>
    </w:pPr>
    <w:rPr>
      <w:sz w:val="28"/>
      <w:lang w:val="en-US" w:eastAsia="en-US"/>
    </w:rPr>
  </w:style>
  <w:style w:type="paragraph" w:styleId="982">
    <w:name w:val="Заголовок 3"/>
    <w:basedOn w:val="979"/>
    <w:next w:val="979"/>
    <w:link w:val="1012"/>
    <w:uiPriority w:val="99"/>
    <w:qFormat/>
    <w:pPr>
      <w:jc w:val="center"/>
      <w:keepNext/>
      <w:outlineLvl w:val="2"/>
    </w:pPr>
    <w:rPr>
      <w:b/>
      <w:sz w:val="28"/>
      <w:szCs w:val="24"/>
      <w:lang w:val="en-US" w:eastAsia="en-US"/>
    </w:rPr>
  </w:style>
  <w:style w:type="paragraph" w:styleId="983">
    <w:name w:val="Заголовок 4"/>
    <w:basedOn w:val="979"/>
    <w:next w:val="979"/>
    <w:link w:val="1013"/>
    <w:uiPriority w:val="99"/>
    <w:qFormat/>
    <w:pPr>
      <w:keepNext/>
      <w:outlineLvl w:val="3"/>
    </w:pPr>
    <w:rPr>
      <w:sz w:val="28"/>
      <w:lang w:val="en-US" w:eastAsia="en-US"/>
    </w:rPr>
  </w:style>
  <w:style w:type="paragraph" w:styleId="984">
    <w:name w:val="Заголовок 5"/>
    <w:basedOn w:val="979"/>
    <w:next w:val="979"/>
    <w:link w:val="1014"/>
    <w:uiPriority w:val="99"/>
    <w:qFormat/>
    <w:pPr>
      <w:jc w:val="right"/>
      <w:keepNext/>
      <w:outlineLvl w:val="4"/>
    </w:pPr>
    <w:rPr>
      <w:sz w:val="28"/>
      <w:lang w:val="en-US" w:eastAsia="en-US"/>
    </w:rPr>
  </w:style>
  <w:style w:type="paragraph" w:styleId="985">
    <w:name w:val="Заголовок 6"/>
    <w:basedOn w:val="979"/>
    <w:next w:val="979"/>
    <w:link w:val="1015"/>
    <w:uiPriority w:val="99"/>
    <w:qFormat/>
    <w:pPr>
      <w:ind w:firstLine="851"/>
      <w:keepNext/>
      <w:outlineLvl w:val="5"/>
    </w:pPr>
    <w:rPr>
      <w:sz w:val="28"/>
      <w:lang w:val="en-US" w:eastAsia="en-US"/>
    </w:rPr>
  </w:style>
  <w:style w:type="paragraph" w:styleId="986">
    <w:name w:val="Заголовок 7"/>
    <w:basedOn w:val="979"/>
    <w:next w:val="979"/>
    <w:link w:val="1009"/>
    <w:uiPriority w:val="99"/>
    <w:qFormat/>
    <w:pPr>
      <w:jc w:val="center"/>
      <w:keepNext/>
      <w:widowControl w:val="off"/>
      <w:outlineLvl w:val="6"/>
    </w:pPr>
    <w:rPr>
      <w:rFonts w:ascii="Arial" w:hAnsi="Arial"/>
      <w:sz w:val="28"/>
      <w:szCs w:val="28"/>
      <w:lang w:val="en-US" w:eastAsia="en-US"/>
    </w:rPr>
  </w:style>
  <w:style w:type="paragraph" w:styleId="987">
    <w:name w:val="Заголовок 8"/>
    <w:basedOn w:val="979"/>
    <w:next w:val="979"/>
    <w:link w:val="1016"/>
    <w:uiPriority w:val="99"/>
    <w:qFormat/>
    <w:pPr>
      <w:jc w:val="center"/>
      <w:keepNext/>
      <w:outlineLvl w:val="7"/>
    </w:pPr>
    <w:rPr>
      <w:sz w:val="28"/>
      <w:szCs w:val="24"/>
      <w:lang w:val="en-US" w:eastAsia="en-US"/>
    </w:rPr>
  </w:style>
  <w:style w:type="paragraph" w:styleId="988">
    <w:name w:val="Заголовок 9"/>
    <w:basedOn w:val="979"/>
    <w:next w:val="979"/>
    <w:link w:val="1002"/>
    <w:uiPriority w:val="9"/>
    <w:unhideWhenUsed/>
    <w:qFormat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styleId="989">
    <w:name w:val="Основной шрифт абзаца"/>
    <w:next w:val="989"/>
    <w:link w:val="979"/>
    <w:semiHidden/>
  </w:style>
  <w:style w:type="table" w:styleId="990">
    <w:name w:val="Обычная таблица"/>
    <w:next w:val="990"/>
    <w:link w:val="979"/>
    <w:uiPriority w:val="99"/>
    <w:semiHidden/>
    <w:unhideWhenUsed/>
    <w:tblPr/>
  </w:style>
  <w:style w:type="numbering" w:styleId="991">
    <w:name w:val="Нет списка"/>
    <w:next w:val="991"/>
    <w:link w:val="979"/>
    <w:uiPriority w:val="99"/>
    <w:semiHidden/>
    <w:unhideWhenUsed/>
  </w:style>
  <w:style w:type="paragraph" w:styleId="992">
    <w:name w:val="Верхний колонтитул"/>
    <w:basedOn w:val="979"/>
    <w:next w:val="992"/>
    <w:link w:val="998"/>
    <w:uiPriority w:val="99"/>
    <w:pPr>
      <w:tabs>
        <w:tab w:val="center" w:pos="4677" w:leader="none"/>
        <w:tab w:val="right" w:pos="9355" w:leader="none"/>
      </w:tabs>
    </w:pPr>
  </w:style>
  <w:style w:type="paragraph" w:styleId="993">
    <w:name w:val="Нижний колонтитул"/>
    <w:basedOn w:val="979"/>
    <w:next w:val="993"/>
    <w:link w:val="1038"/>
    <w:uiPriority w:val="99"/>
    <w:pPr>
      <w:tabs>
        <w:tab w:val="center" w:pos="4677" w:leader="none"/>
        <w:tab w:val="right" w:pos="9355" w:leader="none"/>
      </w:tabs>
    </w:pPr>
  </w:style>
  <w:style w:type="paragraph" w:styleId="994">
    <w:name w:val="Название"/>
    <w:basedOn w:val="979"/>
    <w:next w:val="994"/>
    <w:link w:val="1047"/>
    <w:qFormat/>
    <w:pPr>
      <w:jc w:val="center"/>
    </w:pPr>
    <w:rPr>
      <w:b/>
      <w:sz w:val="28"/>
    </w:rPr>
  </w:style>
  <w:style w:type="paragraph" w:styleId="995">
    <w:name w:val="Основной текст с отступом"/>
    <w:basedOn w:val="979"/>
    <w:next w:val="995"/>
    <w:link w:val="979"/>
    <w:semiHidden/>
    <w:pPr>
      <w:ind w:firstLine="567"/>
      <w:jc w:val="both"/>
    </w:pPr>
    <w:rPr>
      <w:sz w:val="28"/>
    </w:rPr>
  </w:style>
  <w:style w:type="paragraph" w:styleId="996">
    <w:name w:val="Основной текст с отступом 2"/>
    <w:basedOn w:val="979"/>
    <w:next w:val="996"/>
    <w:link w:val="1039"/>
    <w:uiPriority w:val="99"/>
    <w:pPr>
      <w:ind w:firstLine="567"/>
      <w:jc w:val="center"/>
    </w:pPr>
    <w:rPr>
      <w:b/>
      <w:bCs/>
      <w:sz w:val="28"/>
      <w:lang w:val="en-US" w:eastAsia="en-US"/>
    </w:rPr>
  </w:style>
  <w:style w:type="paragraph" w:styleId="997">
    <w:name w:val="Основной текст"/>
    <w:basedOn w:val="979"/>
    <w:next w:val="997"/>
    <w:link w:val="1043"/>
    <w:uiPriority w:val="99"/>
    <w:pPr>
      <w:jc w:val="center"/>
    </w:pPr>
    <w:rPr>
      <w:b/>
      <w:sz w:val="32"/>
      <w:lang w:val="en-US" w:eastAsia="en-US"/>
    </w:rPr>
  </w:style>
  <w:style w:type="character" w:styleId="998">
    <w:name w:val="Верхний колонтитул Знак"/>
    <w:basedOn w:val="989"/>
    <w:next w:val="998"/>
    <w:link w:val="992"/>
    <w:uiPriority w:val="99"/>
  </w:style>
  <w:style w:type="paragraph" w:styleId="999">
    <w:name w:val="Текст выноски"/>
    <w:basedOn w:val="979"/>
    <w:next w:val="999"/>
    <w:link w:val="1000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1000">
    <w:name w:val="Текст выноски Знак"/>
    <w:next w:val="1000"/>
    <w:link w:val="999"/>
    <w:uiPriority w:val="99"/>
    <w:semiHidden/>
    <w:rPr>
      <w:rFonts w:ascii="Tahoma" w:hAnsi="Tahoma" w:cs="Tahoma"/>
      <w:sz w:val="16"/>
      <w:szCs w:val="16"/>
    </w:rPr>
  </w:style>
  <w:style w:type="paragraph" w:styleId="1001">
    <w:name w:val="ConsPlusNormal"/>
    <w:next w:val="1001"/>
    <w:link w:val="979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character" w:styleId="1002">
    <w:name w:val="Заголовок 9 Знак"/>
    <w:next w:val="1002"/>
    <w:link w:val="988"/>
    <w:uiPriority w:val="9"/>
    <w:semiHidden/>
    <w:rPr>
      <w:rFonts w:ascii="Cambria" w:hAnsi="Cambria" w:eastAsia="Times New Roman" w:cs="Times New Roman"/>
      <w:sz w:val="22"/>
      <w:szCs w:val="22"/>
    </w:rPr>
  </w:style>
  <w:style w:type="paragraph" w:styleId="1003">
    <w:name w:val="Основной текст 2"/>
    <w:basedOn w:val="979"/>
    <w:next w:val="1003"/>
    <w:link w:val="1004"/>
    <w:uiPriority w:val="99"/>
    <w:unhideWhenUsed/>
    <w:pPr>
      <w:spacing w:after="120" w:line="480" w:lineRule="auto"/>
    </w:pPr>
  </w:style>
  <w:style w:type="character" w:styleId="1004">
    <w:name w:val="Основной текст 2 Знак"/>
    <w:basedOn w:val="989"/>
    <w:next w:val="1004"/>
    <w:link w:val="1003"/>
    <w:uiPriority w:val="99"/>
    <w:semiHidden/>
  </w:style>
  <w:style w:type="paragraph" w:styleId="1005">
    <w:name w:val="Основной текст с отступом 3"/>
    <w:basedOn w:val="979"/>
    <w:next w:val="1005"/>
    <w:link w:val="1006"/>
    <w:uiPriority w:val="99"/>
    <w:unhideWhenUsed/>
    <w:pPr>
      <w:ind w:left="283"/>
      <w:spacing w:after="120"/>
    </w:pPr>
    <w:rPr>
      <w:sz w:val="16"/>
      <w:szCs w:val="16"/>
      <w:lang w:val="en-US" w:eastAsia="en-US"/>
    </w:rPr>
  </w:style>
  <w:style w:type="character" w:styleId="1006">
    <w:name w:val="Основной текст с отступом 3 Знак"/>
    <w:next w:val="1006"/>
    <w:link w:val="1005"/>
    <w:uiPriority w:val="99"/>
    <w:semiHidden/>
    <w:rPr>
      <w:sz w:val="16"/>
      <w:szCs w:val="16"/>
    </w:rPr>
  </w:style>
  <w:style w:type="paragraph" w:styleId="1007">
    <w:name w:val="Основной текст 3"/>
    <w:basedOn w:val="979"/>
    <w:next w:val="1007"/>
    <w:link w:val="1008"/>
    <w:uiPriority w:val="99"/>
    <w:unhideWhenUsed/>
    <w:pPr>
      <w:spacing w:after="120"/>
    </w:pPr>
    <w:rPr>
      <w:sz w:val="16"/>
      <w:szCs w:val="16"/>
      <w:lang w:val="en-US" w:eastAsia="en-US"/>
    </w:rPr>
  </w:style>
  <w:style w:type="character" w:styleId="1008">
    <w:name w:val="Основной текст 3 Знак"/>
    <w:next w:val="1008"/>
    <w:link w:val="1007"/>
    <w:uiPriority w:val="99"/>
    <w:semiHidden/>
    <w:rPr>
      <w:sz w:val="16"/>
      <w:szCs w:val="16"/>
    </w:rPr>
  </w:style>
  <w:style w:type="character" w:styleId="1009">
    <w:name w:val="Заголовок 7 Знак"/>
    <w:next w:val="1009"/>
    <w:link w:val="986"/>
    <w:uiPriority w:val="99"/>
    <w:rPr>
      <w:rFonts w:ascii="Arial" w:hAnsi="Arial" w:eastAsia="Times New Roman" w:cs="Arial"/>
      <w:sz w:val="28"/>
      <w:szCs w:val="28"/>
    </w:rPr>
  </w:style>
  <w:style w:type="character" w:styleId="1010">
    <w:name w:val="Заголовок 1 Знак"/>
    <w:next w:val="1010"/>
    <w:link w:val="980"/>
    <w:uiPriority w:val="99"/>
    <w:rPr>
      <w:b/>
      <w:bCs/>
      <w:sz w:val="24"/>
      <w:szCs w:val="24"/>
    </w:rPr>
  </w:style>
  <w:style w:type="character" w:styleId="1011">
    <w:name w:val="Заголовок 2 Знак"/>
    <w:next w:val="1011"/>
    <w:link w:val="981"/>
    <w:uiPriority w:val="99"/>
    <w:rPr>
      <w:sz w:val="28"/>
    </w:rPr>
  </w:style>
  <w:style w:type="character" w:styleId="1012">
    <w:name w:val="Заголовок 3 Знак"/>
    <w:next w:val="1012"/>
    <w:link w:val="982"/>
    <w:uiPriority w:val="99"/>
    <w:rPr>
      <w:b/>
      <w:sz w:val="28"/>
      <w:szCs w:val="24"/>
    </w:rPr>
  </w:style>
  <w:style w:type="character" w:styleId="1013">
    <w:name w:val="Заголовок 4 Знак"/>
    <w:next w:val="1013"/>
    <w:link w:val="983"/>
    <w:uiPriority w:val="99"/>
    <w:rPr>
      <w:sz w:val="28"/>
    </w:rPr>
  </w:style>
  <w:style w:type="character" w:styleId="1014">
    <w:name w:val="Заголовок 5 Знак"/>
    <w:next w:val="1014"/>
    <w:link w:val="984"/>
    <w:uiPriority w:val="99"/>
    <w:rPr>
      <w:sz w:val="28"/>
    </w:rPr>
  </w:style>
  <w:style w:type="character" w:styleId="1015">
    <w:name w:val="Заголовок 6 Знак"/>
    <w:next w:val="1015"/>
    <w:link w:val="985"/>
    <w:uiPriority w:val="99"/>
    <w:rPr>
      <w:sz w:val="28"/>
    </w:rPr>
  </w:style>
  <w:style w:type="character" w:styleId="1016">
    <w:name w:val="Заголовок 8 Знак"/>
    <w:next w:val="1016"/>
    <w:link w:val="987"/>
    <w:uiPriority w:val="99"/>
    <w:rPr>
      <w:sz w:val="28"/>
      <w:szCs w:val="24"/>
    </w:rPr>
  </w:style>
  <w:style w:type="character" w:styleId="1017">
    <w:name w:val="Цветовое выделение"/>
    <w:next w:val="1017"/>
    <w:link w:val="979"/>
    <w:rPr>
      <w:b/>
      <w:color w:val="000080"/>
    </w:rPr>
  </w:style>
  <w:style w:type="character" w:styleId="1018">
    <w:name w:val="Гипертекстовая ссылка"/>
    <w:next w:val="1018"/>
    <w:link w:val="979"/>
    <w:uiPriority w:val="99"/>
    <w:rPr>
      <w:rFonts w:cs="Times New Roman"/>
      <w:b/>
      <w:color w:val="008000"/>
      <w:u w:val="single"/>
    </w:rPr>
  </w:style>
  <w:style w:type="paragraph" w:styleId="1019">
    <w:name w:val="Заголовок статьи"/>
    <w:basedOn w:val="979"/>
    <w:next w:val="979"/>
    <w:link w:val="979"/>
    <w:uiPriority w:val="99"/>
    <w:pPr>
      <w:ind w:left="1612" w:hanging="892"/>
      <w:jc w:val="both"/>
      <w:widowControl w:val="off"/>
    </w:pPr>
    <w:rPr>
      <w:rFonts w:ascii="Arial" w:hAnsi="Arial" w:eastAsia="Times New Roman" w:cs="Arial"/>
      <w:b/>
      <w:bCs/>
      <w:i/>
      <w:iCs/>
      <w:sz w:val="22"/>
      <w:szCs w:val="22"/>
    </w:rPr>
  </w:style>
  <w:style w:type="paragraph" w:styleId="1020">
    <w:name w:val="Текст (лев. подпись)"/>
    <w:basedOn w:val="979"/>
    <w:next w:val="979"/>
    <w:link w:val="979"/>
    <w:uiPriority w:val="99"/>
    <w:pPr>
      <w:widowControl w:val="off"/>
    </w:pPr>
    <w:rPr>
      <w:rFonts w:ascii="Arial" w:hAnsi="Arial" w:eastAsia="Times New Roman" w:cs="Arial"/>
      <w:sz w:val="18"/>
      <w:szCs w:val="18"/>
    </w:rPr>
  </w:style>
  <w:style w:type="paragraph" w:styleId="1021">
    <w:name w:val="Колонтитул (левый)"/>
    <w:basedOn w:val="1020"/>
    <w:next w:val="979"/>
    <w:link w:val="979"/>
    <w:uiPriority w:val="99"/>
    <w:rPr>
      <w:sz w:val="10"/>
      <w:szCs w:val="10"/>
    </w:rPr>
  </w:style>
  <w:style w:type="paragraph" w:styleId="1022">
    <w:name w:val="Текст (прав. подпись)"/>
    <w:basedOn w:val="979"/>
    <w:next w:val="979"/>
    <w:link w:val="979"/>
    <w:uiPriority w:val="99"/>
    <w:pPr>
      <w:jc w:val="right"/>
      <w:widowControl w:val="off"/>
    </w:pPr>
    <w:rPr>
      <w:rFonts w:ascii="Arial" w:hAnsi="Arial" w:eastAsia="Times New Roman" w:cs="Arial"/>
      <w:sz w:val="18"/>
      <w:szCs w:val="18"/>
    </w:rPr>
  </w:style>
  <w:style w:type="paragraph" w:styleId="1023">
    <w:name w:val="Колонтитул (правый)"/>
    <w:basedOn w:val="1022"/>
    <w:next w:val="979"/>
    <w:link w:val="979"/>
    <w:uiPriority w:val="99"/>
    <w:rPr>
      <w:sz w:val="10"/>
      <w:szCs w:val="10"/>
    </w:rPr>
  </w:style>
  <w:style w:type="paragraph" w:styleId="1024">
    <w:name w:val="Комментарий"/>
    <w:basedOn w:val="979"/>
    <w:next w:val="979"/>
    <w:link w:val="979"/>
    <w:uiPriority w:val="99"/>
    <w:pPr>
      <w:ind w:left="170"/>
      <w:jc w:val="both"/>
      <w:widowControl w:val="off"/>
    </w:pPr>
    <w:rPr>
      <w:rFonts w:ascii="Arial" w:hAnsi="Arial" w:eastAsia="Times New Roman" w:cs="Arial"/>
      <w:i/>
      <w:iCs/>
      <w:color w:val="800080"/>
    </w:rPr>
  </w:style>
  <w:style w:type="paragraph" w:styleId="1025">
    <w:name w:val="Комментарий пользователя"/>
    <w:basedOn w:val="1024"/>
    <w:next w:val="979"/>
    <w:link w:val="979"/>
    <w:uiPriority w:val="99"/>
    <w:pPr>
      <w:jc w:val="left"/>
    </w:pPr>
    <w:rPr>
      <w:color w:val="000080"/>
    </w:rPr>
  </w:style>
  <w:style w:type="character" w:styleId="1026">
    <w:name w:val="Не вступил в силу"/>
    <w:next w:val="1026"/>
    <w:link w:val="979"/>
    <w:uiPriority w:val="99"/>
    <w:rPr>
      <w:rFonts w:cs="Times New Roman"/>
      <w:b/>
      <w:color w:val="008080"/>
    </w:rPr>
  </w:style>
  <w:style w:type="paragraph" w:styleId="1027">
    <w:name w:val="Таблицы (моноширинный)"/>
    <w:basedOn w:val="979"/>
    <w:next w:val="979"/>
    <w:link w:val="979"/>
    <w:pPr>
      <w:jc w:val="both"/>
      <w:widowControl w:val="off"/>
    </w:pPr>
    <w:rPr>
      <w:rFonts w:ascii="Courier New" w:hAnsi="Courier New" w:eastAsia="Times New Roman" w:cs="Courier New"/>
    </w:rPr>
  </w:style>
  <w:style w:type="paragraph" w:styleId="1028">
    <w:name w:val="Оглавление"/>
    <w:basedOn w:val="1027"/>
    <w:next w:val="979"/>
    <w:link w:val="979"/>
    <w:uiPriority w:val="99"/>
    <w:pPr>
      <w:ind w:left="140"/>
    </w:pPr>
  </w:style>
  <w:style w:type="paragraph" w:styleId="1029">
    <w:name w:val="Основное меню"/>
    <w:basedOn w:val="979"/>
    <w:next w:val="979"/>
    <w:link w:val="979"/>
    <w:uiPriority w:val="99"/>
    <w:pPr>
      <w:ind w:firstLine="720"/>
      <w:jc w:val="both"/>
      <w:widowControl w:val="off"/>
    </w:pPr>
    <w:rPr>
      <w:rFonts w:ascii="Verdana" w:hAnsi="Verdana" w:eastAsia="Times New Roman" w:cs="Verdana"/>
      <w:sz w:val="14"/>
      <w:szCs w:val="14"/>
    </w:rPr>
  </w:style>
  <w:style w:type="paragraph" w:styleId="1030">
    <w:name w:val="Переменная часть"/>
    <w:basedOn w:val="1029"/>
    <w:next w:val="979"/>
    <w:link w:val="979"/>
    <w:uiPriority w:val="99"/>
  </w:style>
  <w:style w:type="paragraph" w:styleId="1031">
    <w:name w:val="Постоянная часть"/>
    <w:basedOn w:val="1029"/>
    <w:next w:val="979"/>
    <w:link w:val="979"/>
    <w:uiPriority w:val="99"/>
    <w:rPr>
      <w:b/>
      <w:bCs/>
      <w:u w:val="single"/>
    </w:rPr>
  </w:style>
  <w:style w:type="paragraph" w:styleId="1032">
    <w:name w:val="Прижатый влево"/>
    <w:basedOn w:val="979"/>
    <w:next w:val="979"/>
    <w:link w:val="979"/>
    <w:uiPriority w:val="99"/>
    <w:pPr>
      <w:widowControl w:val="off"/>
    </w:pPr>
    <w:rPr>
      <w:rFonts w:ascii="Arial" w:hAnsi="Arial" w:eastAsia="Times New Roman" w:cs="Arial"/>
      <w:sz w:val="18"/>
      <w:szCs w:val="18"/>
    </w:rPr>
  </w:style>
  <w:style w:type="character" w:styleId="1033">
    <w:name w:val="Продолжение ссылки"/>
    <w:basedOn w:val="1018"/>
    <w:next w:val="1033"/>
    <w:link w:val="979"/>
    <w:uiPriority w:val="99"/>
  </w:style>
  <w:style w:type="paragraph" w:styleId="1034">
    <w:name w:val="Словарная статья"/>
    <w:basedOn w:val="979"/>
    <w:next w:val="979"/>
    <w:link w:val="979"/>
    <w:uiPriority w:val="99"/>
    <w:pPr>
      <w:ind w:right="118"/>
      <w:jc w:val="both"/>
      <w:widowControl w:val="off"/>
    </w:pPr>
    <w:rPr>
      <w:rFonts w:ascii="Arial" w:hAnsi="Arial" w:eastAsia="Times New Roman" w:cs="Arial"/>
      <w:sz w:val="18"/>
      <w:szCs w:val="18"/>
    </w:rPr>
  </w:style>
  <w:style w:type="paragraph" w:styleId="1035">
    <w:name w:val="Текст (справка)"/>
    <w:basedOn w:val="979"/>
    <w:next w:val="979"/>
    <w:link w:val="979"/>
    <w:uiPriority w:val="99"/>
    <w:pPr>
      <w:ind w:left="170" w:right="170"/>
      <w:widowControl w:val="off"/>
    </w:pPr>
    <w:rPr>
      <w:rFonts w:ascii="Arial" w:hAnsi="Arial" w:eastAsia="Times New Roman" w:cs="Arial"/>
      <w:sz w:val="18"/>
      <w:szCs w:val="18"/>
    </w:rPr>
  </w:style>
  <w:style w:type="character" w:styleId="1036">
    <w:name w:val="Утратил силу"/>
    <w:next w:val="1036"/>
    <w:link w:val="979"/>
    <w:uiPriority w:val="99"/>
    <w:rPr>
      <w:rFonts w:cs="Times New Roman"/>
      <w:b/>
      <w:strike/>
      <w:color w:val="808000"/>
    </w:rPr>
  </w:style>
  <w:style w:type="character" w:styleId="1037">
    <w:name w:val="Номер страницы"/>
    <w:next w:val="1037"/>
    <w:link w:val="979"/>
    <w:uiPriority w:val="99"/>
    <w:rPr>
      <w:rFonts w:cs="Times New Roman"/>
    </w:rPr>
  </w:style>
  <w:style w:type="character" w:styleId="1038">
    <w:name w:val="Нижний колонтитул Знак"/>
    <w:basedOn w:val="989"/>
    <w:next w:val="1038"/>
    <w:link w:val="993"/>
    <w:uiPriority w:val="99"/>
  </w:style>
  <w:style w:type="character" w:styleId="1039">
    <w:name w:val="Основной текст с отступом 2 Знак"/>
    <w:next w:val="1039"/>
    <w:link w:val="996"/>
    <w:uiPriority w:val="99"/>
    <w:rPr>
      <w:b/>
      <w:bCs/>
      <w:sz w:val="28"/>
    </w:rPr>
  </w:style>
  <w:style w:type="paragraph" w:styleId="1040">
    <w:name w:val="ConsNormal"/>
    <w:next w:val="1040"/>
    <w:link w:val="979"/>
    <w:uiPriority w:val="99"/>
    <w:pPr>
      <w:ind w:firstLine="709"/>
      <w:jc w:val="both"/>
      <w:spacing w:line="480" w:lineRule="auto"/>
    </w:pPr>
    <w:rPr>
      <w:rFonts w:ascii="Arial" w:hAnsi="Arial" w:cs="Arial"/>
      <w:sz w:val="28"/>
      <w:szCs w:val="28"/>
      <w:lang w:val="ru-RU" w:eastAsia="ru-RU" w:bidi="ar-SA"/>
    </w:rPr>
  </w:style>
  <w:style w:type="paragraph" w:styleId="1041">
    <w:name w:val="Подзаголовок"/>
    <w:basedOn w:val="979"/>
    <w:next w:val="1041"/>
    <w:link w:val="1042"/>
    <w:uiPriority w:val="99"/>
    <w:qFormat/>
    <w:pPr>
      <w:jc w:val="center"/>
    </w:pPr>
    <w:rPr>
      <w:rFonts w:ascii="Arial" w:hAnsi="Arial"/>
      <w:sz w:val="36"/>
      <w:szCs w:val="36"/>
      <w:lang w:val="en-US" w:eastAsia="en-US"/>
    </w:rPr>
  </w:style>
  <w:style w:type="character" w:styleId="1042">
    <w:name w:val="Подзаголовок Знак"/>
    <w:next w:val="1042"/>
    <w:link w:val="1041"/>
    <w:uiPriority w:val="99"/>
    <w:rPr>
      <w:rFonts w:ascii="Arial" w:hAnsi="Arial" w:eastAsia="Times New Roman" w:cs="Arial"/>
      <w:sz w:val="36"/>
      <w:szCs w:val="36"/>
    </w:rPr>
  </w:style>
  <w:style w:type="character" w:styleId="1043">
    <w:name w:val="Основной текст Знак"/>
    <w:next w:val="1043"/>
    <w:link w:val="997"/>
    <w:uiPriority w:val="99"/>
    <w:rPr>
      <w:b/>
      <w:sz w:val="32"/>
    </w:rPr>
  </w:style>
  <w:style w:type="paragraph" w:styleId="1044">
    <w:name w:val="заголовок 3"/>
    <w:basedOn w:val="979"/>
    <w:next w:val="979"/>
    <w:link w:val="979"/>
    <w:uiPriority w:val="99"/>
    <w:pPr>
      <w:jc w:val="center"/>
      <w:keepNext/>
    </w:pPr>
    <w:rPr>
      <w:rFonts w:ascii="Arial" w:hAnsi="Arial" w:eastAsia="Times New Roman" w:cs="Arial"/>
      <w:b/>
      <w:bCs/>
      <w:sz w:val="24"/>
      <w:szCs w:val="24"/>
      <w:lang w:val="en-US"/>
    </w:rPr>
  </w:style>
  <w:style w:type="paragraph" w:styleId="1045">
    <w:name w:val="Цитата"/>
    <w:basedOn w:val="979"/>
    <w:next w:val="1045"/>
    <w:link w:val="979"/>
    <w:uiPriority w:val="99"/>
    <w:pPr>
      <w:ind w:left="113" w:right="113"/>
      <w:jc w:val="center"/>
      <w:widowControl w:val="off"/>
    </w:pPr>
    <w:rPr>
      <w:rFonts w:ascii="Arial" w:hAnsi="Arial" w:eastAsia="Times New Roman" w:cs="Arial"/>
      <w:sz w:val="16"/>
      <w:szCs w:val="16"/>
    </w:rPr>
  </w:style>
  <w:style w:type="paragraph" w:styleId="1046">
    <w:name w:val="ConsPlusNonformat"/>
    <w:next w:val="1046"/>
    <w:link w:val="97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47">
    <w:name w:val="Название Знак"/>
    <w:basedOn w:val="989"/>
    <w:next w:val="1047"/>
    <w:link w:val="994"/>
    <w:rPr>
      <w:b/>
      <w:sz w:val="28"/>
    </w:rPr>
  </w:style>
  <w:style w:type="character" w:styleId="1048" w:default="1">
    <w:name w:val="Default Paragraph Font"/>
    <w:uiPriority w:val="1"/>
    <w:semiHidden/>
    <w:unhideWhenUsed/>
  </w:style>
  <w:style w:type="numbering" w:styleId="1049" w:default="1">
    <w:name w:val="No List"/>
    <w:uiPriority w:val="99"/>
    <w:semiHidden/>
    <w:unhideWhenUsed/>
  </w:style>
  <w:style w:type="table" w:styleId="1050" w:default="1">
    <w:name w:val="Normal Table"/>
    <w:uiPriority w:val="99"/>
    <w:semiHidden/>
    <w:unhideWhenUsed/>
    <w:tblPr/>
  </w:style>
  <w:style w:type="character" w:styleId="1051" w:customStyle="1">
    <w:name w:val="Strong"/>
    <w:basedOn w:val="1041"/>
    <w:qFormat/>
    <w:rPr>
      <w:b/>
      <w:color w:val="000000"/>
      <w:sz w:val="28"/>
    </w:rPr>
  </w:style>
  <w:style w:type="paragraph" w:styleId="1052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1053" w:customStyle="1">
    <w:name w:val="Сетка таблицы1"/>
    <w:basedOn w:val="1042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s://login.consultant.ru/link/?req=doc&amp;base=RLAW021&amp;n=206886&amp;date=12.02.2026&amp;dst=101838&amp;field=134" TargetMode="External"/><Relationship Id="rId12" Type="http://schemas.openxmlformats.org/officeDocument/2006/relationships/hyperlink" Target="https://login.consultant.ru/link/?req=doc&amp;base=LAW&amp;n=523288&amp;date=12.02.2026&amp;dst=414&amp;field=134" TargetMode="External"/><Relationship Id="rId13" Type="http://schemas.openxmlformats.org/officeDocument/2006/relationships/hyperlink" Target="https://login.consultant.ru/link/?req=doc&amp;base=RLAW021&amp;n=206886&amp;date=12.02.2026&amp;dst=101838&amp;field=134" TargetMode="External"/><Relationship Id="rId14" Type="http://schemas.openxmlformats.org/officeDocument/2006/relationships/hyperlink" Target="https://login.consultant.ru/link/?req=doc&amp;base=RLAW021&amp;n=206880&amp;date=12.02.2026&amp;dst=102115&amp;field=134" TargetMode="External"/><Relationship Id="rId15" Type="http://schemas.openxmlformats.org/officeDocument/2006/relationships/hyperlink" Target="https://login.consultant.ru/link/?req=doc&amp;base=RLAW021&amp;n=206886&amp;date=12.02.2026&amp;dst=101799&amp;field=134" TargetMode="External"/><Relationship Id="rId16" Type="http://schemas.openxmlformats.org/officeDocument/2006/relationships/hyperlink" Target="https://login.consultant.ru/link/?req=doc&amp;base=RLAW021&amp;n=206880&amp;date=12.02.2026&amp;dst=100727&amp;field=134" TargetMode="External"/><Relationship Id="rId17" Type="http://schemas.openxmlformats.org/officeDocument/2006/relationships/hyperlink" Target="https://login.consultant.ru/link/?req=doc&amp;base=RLAW021&amp;n=206886&amp;date=12.02.2026&amp;dst=101799&amp;field=134" TargetMode="External"/><Relationship Id="rId18" Type="http://schemas.openxmlformats.org/officeDocument/2006/relationships/hyperlink" Target="https://login.consultant.ru/link/?req=doc&amp;base=RLAW021&amp;n=206880&amp;date=12.02.2026&amp;dst=100727&amp;field=134" TargetMode="External"/><Relationship Id="rId19" Type="http://schemas.openxmlformats.org/officeDocument/2006/relationships/hyperlink" Target="https://login.consultant.ru/link/?req=doc&amp;base=RLAW021&amp;n=206886&amp;date=12.02.2026&amp;dst=102201&amp;field=134" TargetMode="External"/><Relationship Id="rId20" Type="http://schemas.openxmlformats.org/officeDocument/2006/relationships/hyperlink" Target="https://login.consultant.ru/link/?req=doc&amp;base=RLAW021&amp;n=206880&amp;date=12.02.2026&amp;dst=102533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Избирком Пензенской области</Company>
  <DocSecurity>0</DocSecurity>
  <HyperlinksChanged>false</HyperlinksChanged>
  <ScaleCrop>false</ScaleCrop>
  <SharedDoc>false</SharedDoc>
  <Template>ПОСТАНОВЛЕНИЕ.dot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test</dc:creator>
  <cp:lastModifiedBy>user</cp:lastModifiedBy>
  <cp:revision>11</cp:revision>
  <dcterms:created xsi:type="dcterms:W3CDTF">2022-06-16T12:44:00Z</dcterms:created>
  <dcterms:modified xsi:type="dcterms:W3CDTF">2026-06-22T10:50:43Z</dcterms:modified>
  <cp:version>786432</cp:version>
</cp:coreProperties>
</file>